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宋体"/>
          <w:b/>
          <w:spacing w:val="170"/>
          <w:kern w:val="0"/>
          <w:sz w:val="84"/>
          <w:szCs w:val="84"/>
        </w:rPr>
      </w:pPr>
      <w:r>
        <w:rPr>
          <w:rFonts w:hint="eastAsia" w:ascii="宋体" w:hAnsi="宋体" w:cs="宋体"/>
        </w:rPr>
        <w:drawing>
          <wp:anchor distT="0" distB="0" distL="114300" distR="114300" simplePos="0" relativeHeight="251682816" behindDoc="1" locked="0" layoutInCell="0" allowOverlap="1">
            <wp:simplePos x="0" y="0"/>
            <wp:positionH relativeFrom="margin">
              <wp:posOffset>-69215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竞争性谈判</w:t>
      </w:r>
      <w:r>
        <w:rPr>
          <w:rFonts w:hint="eastAsia" w:ascii="宋体" w:hAnsi="宋体" w:cs="宋体"/>
          <w:b/>
          <w:spacing w:val="170"/>
          <w:sz w:val="84"/>
          <w:szCs w:val="84"/>
        </w:rPr>
        <w:t>文件</w:t>
      </w:r>
    </w:p>
    <w:p>
      <w:pPr>
        <w:tabs>
          <w:tab w:val="left" w:pos="2450"/>
        </w:tabs>
        <w:spacing w:line="680" w:lineRule="exact"/>
        <w:rPr>
          <w:rFonts w:ascii="宋体" w:hAnsi="宋体" w:cs="宋体"/>
          <w:sz w:val="44"/>
          <w:szCs w:val="44"/>
        </w:rPr>
      </w:pPr>
      <w:r>
        <w:rPr>
          <w:rFonts w:hint="eastAsia"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840" w:firstLineChars="300"/>
        <w:rPr>
          <w:rFonts w:hint="eastAsia" w:ascii="宋体" w:hAnsi="宋体" w:eastAsia="宋体" w:cs="宋体"/>
          <w:bCs/>
          <w:sz w:val="28"/>
          <w:szCs w:val="32"/>
          <w:lang w:eastAsia="zh-CN"/>
        </w:rPr>
      </w:pPr>
      <w:r>
        <w:rPr>
          <w:rFonts w:hint="eastAsia" w:ascii="宋体" w:hAnsi="宋体" w:cs="宋体"/>
          <w:bCs/>
          <w:sz w:val="28"/>
          <w:szCs w:val="32"/>
        </w:rPr>
        <w:t>采购项目编号：</w:t>
      </w:r>
      <w:r>
        <w:rPr>
          <w:rFonts w:hint="eastAsia" w:ascii="宋体" w:hAnsi="宋体" w:cs="宋体"/>
          <w:bCs/>
          <w:sz w:val="28"/>
          <w:szCs w:val="32"/>
          <w:lang w:eastAsia="zh-CN"/>
        </w:rPr>
        <w:t>CT-SJ-2020065-1</w:t>
      </w:r>
    </w:p>
    <w:p>
      <w:pPr>
        <w:adjustRightInd w:val="0"/>
        <w:snapToGrid w:val="0"/>
        <w:spacing w:line="800" w:lineRule="exact"/>
        <w:ind w:firstLine="840" w:firstLineChars="300"/>
        <w:rPr>
          <w:rFonts w:hint="eastAsia" w:ascii="宋体" w:hAnsi="宋体" w:eastAsia="宋体" w:cs="宋体"/>
          <w:bCs/>
          <w:sz w:val="28"/>
          <w:szCs w:val="32"/>
          <w:lang w:eastAsia="zh-CN"/>
        </w:rPr>
      </w:pPr>
      <w:r>
        <w:rPr>
          <w:rFonts w:hint="eastAsia" w:ascii="宋体" w:hAnsi="宋体" w:cs="宋体"/>
          <w:bCs/>
          <w:sz w:val="28"/>
          <w:szCs w:val="32"/>
        </w:rPr>
        <w:t>采购项目名称：基层规范化建设物资装备采购项目</w:t>
      </w:r>
      <w:bookmarkStart w:id="9" w:name="_GoBack"/>
      <w:bookmarkEnd w:id="9"/>
    </w:p>
    <w:p>
      <w:pPr>
        <w:adjustRightInd w:val="0"/>
        <w:snapToGrid w:val="0"/>
        <w:spacing w:line="800" w:lineRule="exact"/>
        <w:ind w:firstLine="839" w:firstLineChars="247"/>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称：常州市钟楼区北港街道办事处（人民武装部）</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spacing w:before="100" w:after="240" w:line="500" w:lineRule="exact"/>
        <w:jc w:val="center"/>
        <w:rPr>
          <w:rFonts w:ascii="宋体" w:hAnsi="宋体" w:cs="宋体"/>
          <w:b/>
          <w:sz w:val="44"/>
          <w:szCs w:val="44"/>
        </w:rPr>
      </w:pPr>
      <w:r>
        <w:rPr>
          <w:rFonts w:hint="eastAsia" w:ascii="宋体" w:hAnsi="宋体" w:cs="宋体"/>
          <w:w w:val="90"/>
          <w:sz w:val="44"/>
          <w:szCs w:val="44"/>
        </w:rPr>
        <w:t>二〇二〇年九月</w:t>
      </w:r>
    </w:p>
    <w:p>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5038988"/>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0"/>
            <w:jc w:val="center"/>
            <w:rPr>
              <w:rFonts w:ascii="宋体" w:hAnsi="宋体" w:eastAsia="宋体" w:cs="宋体"/>
              <w:b w:val="0"/>
              <w:bCs w:val="0"/>
              <w:color w:val="auto"/>
              <w:kern w:val="2"/>
              <w:sz w:val="21"/>
              <w:szCs w:val="20"/>
              <w:lang w:val="zh-CN"/>
            </w:rPr>
          </w:pPr>
        </w:p>
        <w:p>
          <w:pPr>
            <w:pStyle w:val="60"/>
            <w:jc w:val="center"/>
            <w:rPr>
              <w:rFonts w:ascii="宋体" w:hAnsi="宋体" w:eastAsia="宋体" w:cs="宋体"/>
              <w:color w:val="auto"/>
            </w:rPr>
          </w:pPr>
          <w:r>
            <w:rPr>
              <w:rFonts w:hint="eastAsia" w:ascii="宋体" w:hAnsi="宋体" w:eastAsia="宋体" w:cs="宋体"/>
              <w:color w:val="auto"/>
              <w:sz w:val="44"/>
              <w:szCs w:val="44"/>
              <w:lang w:val="zh-CN"/>
            </w:rPr>
            <w:t>目  录</w:t>
          </w:r>
        </w:p>
        <w:p>
          <w:pPr>
            <w:pStyle w:val="17"/>
            <w:tabs>
              <w:tab w:val="right" w:leader="dot" w:pos="8302"/>
            </w:tabs>
            <w:spacing w:line="720" w:lineRule="auto"/>
            <w:rPr>
              <w:rFonts w:ascii="宋体" w:hAnsi="宋体" w:cs="宋体"/>
              <w:b/>
              <w:sz w:val="32"/>
              <w:szCs w:val="32"/>
            </w:rPr>
          </w:pPr>
        </w:p>
        <w:p>
          <w:pPr>
            <w:pStyle w:val="17"/>
            <w:tabs>
              <w:tab w:val="right" w:leader="dot" w:pos="8302"/>
            </w:tabs>
            <w:spacing w:line="720" w:lineRule="auto"/>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"_Toc17536924" </w:instrText>
          </w:r>
          <w:r>
            <w:fldChar w:fldCharType="separate"/>
          </w:r>
          <w:r>
            <w:rPr>
              <w:rStyle w:val="25"/>
              <w:rFonts w:hint="eastAsia" w:ascii="宋体" w:hAnsi="宋体" w:cs="宋体"/>
              <w:b/>
              <w:color w:val="auto"/>
              <w:sz w:val="32"/>
              <w:szCs w:val="32"/>
            </w:rPr>
            <w:t>竞争性谈判公告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_Toc17536924 \h </w:instrText>
          </w:r>
          <w:r>
            <w:rPr>
              <w:rFonts w:hint="eastAsia" w:ascii="宋体" w:hAnsi="宋体" w:cs="宋体"/>
              <w:b/>
              <w:sz w:val="32"/>
              <w:szCs w:val="32"/>
            </w:rPr>
            <w:fldChar w:fldCharType="separate"/>
          </w:r>
          <w:r>
            <w:rPr>
              <w:rFonts w:hint="eastAsia"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"_Toc17536925" </w:instrText>
          </w:r>
          <w:r>
            <w:fldChar w:fldCharType="separate"/>
          </w:r>
          <w:r>
            <w:rPr>
              <w:rStyle w:val="25"/>
              <w:rFonts w:hint="eastAsia" w:ascii="宋体" w:hAnsi="宋体" w:cs="宋体"/>
              <w:b/>
              <w:color w:val="auto"/>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_Toc17536925 \h </w:instrText>
          </w:r>
          <w:r>
            <w:rPr>
              <w:rFonts w:hint="eastAsia" w:ascii="宋体" w:hAnsi="宋体" w:cs="宋体"/>
              <w:b/>
              <w:sz w:val="32"/>
              <w:szCs w:val="32"/>
            </w:rPr>
            <w:fldChar w:fldCharType="separate"/>
          </w:r>
          <w:r>
            <w:rPr>
              <w:rFonts w:hint="eastAsia" w:ascii="宋体" w:hAnsi="宋体" w:cs="宋体"/>
              <w:b/>
              <w:sz w:val="32"/>
              <w:szCs w:val="32"/>
            </w:rPr>
            <w:t>6</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"_Toc17536926" </w:instrText>
          </w:r>
          <w:r>
            <w:fldChar w:fldCharType="separate"/>
          </w:r>
          <w:r>
            <w:rPr>
              <w:rStyle w:val="25"/>
              <w:rFonts w:hint="eastAsia" w:ascii="宋体" w:hAnsi="宋体" w:cs="宋体"/>
              <w:b/>
              <w:color w:val="auto"/>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_Toc17536926 \h </w:instrText>
          </w:r>
          <w:r>
            <w:rPr>
              <w:rFonts w:hint="eastAsia" w:ascii="宋体" w:hAnsi="宋体" w:cs="宋体"/>
              <w:b/>
              <w:sz w:val="32"/>
              <w:szCs w:val="32"/>
            </w:rPr>
            <w:fldChar w:fldCharType="separate"/>
          </w:r>
          <w:r>
            <w:rPr>
              <w:rFonts w:hint="eastAsia" w:ascii="宋体" w:hAnsi="宋体" w:cs="宋体"/>
              <w:b/>
              <w:sz w:val="32"/>
              <w:szCs w:val="32"/>
            </w:rPr>
            <w:t>14</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"_Toc17536927" </w:instrText>
          </w:r>
          <w:r>
            <w:fldChar w:fldCharType="separate"/>
          </w:r>
          <w:r>
            <w:rPr>
              <w:rStyle w:val="25"/>
              <w:rFonts w:hint="eastAsia" w:ascii="宋体" w:hAnsi="宋体" w:cs="宋体"/>
              <w:b/>
              <w:color w:val="auto"/>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_Toc17536927 \h </w:instrText>
          </w:r>
          <w:r>
            <w:rPr>
              <w:rFonts w:hint="eastAsia" w:ascii="宋体" w:hAnsi="宋体" w:cs="宋体"/>
              <w:b/>
              <w:sz w:val="32"/>
              <w:szCs w:val="32"/>
            </w:rPr>
            <w:fldChar w:fldCharType="separate"/>
          </w:r>
          <w:r>
            <w:rPr>
              <w:rFonts w:hint="eastAsia" w:ascii="宋体" w:hAnsi="宋体" w:cs="宋体"/>
              <w:b/>
              <w:sz w:val="32"/>
              <w:szCs w:val="32"/>
            </w:rPr>
            <w:t>17</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"_Toc17536928" </w:instrText>
          </w:r>
          <w:r>
            <w:fldChar w:fldCharType="separate"/>
          </w:r>
          <w:r>
            <w:rPr>
              <w:rStyle w:val="25"/>
              <w:rFonts w:hint="eastAsia" w:ascii="宋体" w:hAnsi="宋体" w:cs="宋体"/>
              <w:b/>
              <w:color w:val="auto"/>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_Toc17536928 \h </w:instrText>
          </w:r>
          <w:r>
            <w:rPr>
              <w:rFonts w:hint="eastAsia" w:ascii="宋体" w:hAnsi="宋体" w:cs="宋体"/>
              <w:b/>
              <w:sz w:val="32"/>
              <w:szCs w:val="32"/>
            </w:rPr>
            <w:fldChar w:fldCharType="separate"/>
          </w:r>
          <w:r>
            <w:rPr>
              <w:rFonts w:hint="eastAsia"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"_Toc17536929" </w:instrText>
          </w:r>
          <w:r>
            <w:fldChar w:fldCharType="separate"/>
          </w:r>
          <w:r>
            <w:rPr>
              <w:rStyle w:val="25"/>
              <w:rFonts w:hint="eastAsia" w:ascii="宋体" w:hAnsi="宋体" w:cs="宋体"/>
              <w:b/>
              <w:color w:val="auto"/>
              <w:sz w:val="32"/>
              <w:szCs w:val="32"/>
            </w:rPr>
            <w:t>第五章  谈判响应文件的组成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_Toc17536929 \h </w:instrText>
          </w:r>
          <w:r>
            <w:rPr>
              <w:rFonts w:hint="eastAsia" w:ascii="宋体" w:hAnsi="宋体" w:cs="宋体"/>
              <w:b/>
              <w:sz w:val="32"/>
              <w:szCs w:val="32"/>
            </w:rPr>
            <w:fldChar w:fldCharType="separate"/>
          </w:r>
          <w:r>
            <w:rPr>
              <w:rFonts w:hint="eastAsia"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b/>
              <w:sz w:val="32"/>
              <w:szCs w:val="32"/>
            </w:rPr>
          </w:pPr>
          <w:r>
            <w:fldChar w:fldCharType="begin"/>
          </w:r>
          <w:r>
            <w:instrText xml:space="preserve"> HYPERLINK \l "_Toc17536930" </w:instrText>
          </w:r>
          <w:r>
            <w:fldChar w:fldCharType="separate"/>
          </w:r>
          <w:r>
            <w:rPr>
              <w:rStyle w:val="25"/>
              <w:rFonts w:hint="eastAsia" w:ascii="宋体" w:hAnsi="宋体" w:cs="宋体"/>
              <w:b/>
              <w:color w:val="auto"/>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_Toc17536930 \h </w:instrText>
          </w:r>
          <w:r>
            <w:rPr>
              <w:rFonts w:hint="eastAsia" w:ascii="宋体" w:hAnsi="宋体" w:cs="宋体"/>
              <w:b/>
              <w:sz w:val="32"/>
              <w:szCs w:val="32"/>
            </w:rPr>
            <w:fldChar w:fldCharType="separate"/>
          </w:r>
          <w:r>
            <w:rPr>
              <w:rFonts w:hint="eastAsia" w:ascii="宋体" w:hAnsi="宋体" w:cs="宋体"/>
              <w:b/>
              <w:sz w:val="32"/>
              <w:szCs w:val="32"/>
            </w:rPr>
            <w:t>24</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7"/>
            <w:tabs>
              <w:tab w:val="right" w:leader="dot" w:pos="8302"/>
            </w:tabs>
            <w:spacing w:line="720" w:lineRule="auto"/>
            <w:rPr>
              <w:rFonts w:ascii="宋体" w:hAnsi="宋体" w:cs="宋体"/>
              <w:szCs w:val="22"/>
            </w:rPr>
          </w:pPr>
          <w:r>
            <w:fldChar w:fldCharType="begin"/>
          </w:r>
          <w:r>
            <w:instrText xml:space="preserve"> HYPERLINK \l "_Toc17536931" </w:instrText>
          </w:r>
          <w:r>
            <w:fldChar w:fldCharType="separate"/>
          </w:r>
          <w:r>
            <w:rPr>
              <w:rStyle w:val="25"/>
              <w:rFonts w:hint="eastAsia" w:ascii="宋体" w:hAnsi="宋体" w:cs="宋体"/>
              <w:b/>
              <w:color w:val="auto"/>
              <w:sz w:val="32"/>
              <w:szCs w:val="32"/>
            </w:rPr>
            <w:t>友 情 提 醒</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_Toc17536931 \h </w:instrText>
          </w:r>
          <w:r>
            <w:rPr>
              <w:rFonts w:hint="eastAsia" w:ascii="宋体" w:hAnsi="宋体" w:cs="宋体"/>
              <w:b/>
              <w:sz w:val="32"/>
              <w:szCs w:val="32"/>
            </w:rPr>
            <w:fldChar w:fldCharType="separate"/>
          </w:r>
          <w:r>
            <w:rPr>
              <w:rFonts w:hint="eastAsia" w:ascii="宋体" w:hAnsi="宋体" w:cs="宋体"/>
              <w:b/>
              <w:sz w:val="32"/>
              <w:szCs w:val="32"/>
            </w:rPr>
            <w:t>30</w:t>
          </w:r>
          <w:r>
            <w:rPr>
              <w:rFonts w:hint="eastAsia" w:ascii="宋体" w:hAnsi="宋体" w:cs="宋体"/>
              <w:b/>
              <w:sz w:val="32"/>
              <w:szCs w:val="32"/>
            </w:rPr>
            <w:fldChar w:fldCharType="end"/>
          </w:r>
          <w:r>
            <w:rPr>
              <w:rFonts w:hint="eastAsia" w:ascii="宋体" w:hAnsi="宋体" w:cs="宋体"/>
              <w:b/>
              <w:sz w:val="32"/>
              <w:szCs w:val="32"/>
            </w:rPr>
            <w:fldChar w:fldCharType="end"/>
          </w:r>
        </w:p>
        <w:p>
          <w:pPr>
            <w:spacing w:line="720" w:lineRule="auto"/>
            <w:rPr>
              <w:rFonts w:ascii="宋体" w:hAnsi="宋体" w:cs="宋体"/>
            </w:rPr>
          </w:pPr>
          <w:r>
            <w:rPr>
              <w:rFonts w:hint="eastAsia" w:ascii="宋体" w:hAnsi="宋体" w:cs="宋体"/>
              <w:b/>
              <w:sz w:val="32"/>
              <w:szCs w:val="32"/>
            </w:rPr>
            <w:fldChar w:fldCharType="end"/>
          </w:r>
        </w:p>
      </w:sdtContent>
    </w:sdt>
    <w:p>
      <w:pPr>
        <w:spacing w:before="100" w:after="240" w:line="500" w:lineRule="exact"/>
        <w:jc w:val="center"/>
        <w:rPr>
          <w:rFonts w:ascii="宋体" w:hAnsi="宋体" w:cs="宋体"/>
          <w:b/>
          <w:sz w:val="44"/>
          <w:szCs w:val="4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napToGrid w:val="0"/>
        <w:jc w:val="center"/>
        <w:rPr>
          <w:rFonts w:ascii="宋体" w:hAnsi="宋体" w:cs="宋体"/>
          <w:b/>
          <w:bCs/>
          <w:sz w:val="24"/>
          <w:szCs w:val="24"/>
        </w:rPr>
      </w:pPr>
      <w:r>
        <w:rPr>
          <w:rFonts w:hint="eastAsia" w:ascii="宋体" w:hAnsi="宋体" w:cs="宋体"/>
          <w:b/>
          <w:bCs/>
          <w:sz w:val="24"/>
          <w:szCs w:val="24"/>
        </w:rPr>
        <w:br w:type="page"/>
      </w:r>
    </w:p>
    <w:p>
      <w:pPr>
        <w:pStyle w:val="3"/>
        <w:adjustRightInd w:val="0"/>
        <w:snapToGrid w:val="0"/>
        <w:rPr>
          <w:rFonts w:ascii="宋体" w:hAnsi="宋体" w:cs="宋体"/>
          <w:szCs w:val="32"/>
        </w:rPr>
      </w:pPr>
      <w:bookmarkStart w:id="0" w:name="_Toc17536924"/>
      <w:r>
        <w:rPr>
          <w:rFonts w:hint="eastAsia" w:ascii="宋体" w:hAnsi="宋体" w:cs="宋体"/>
          <w:szCs w:val="32"/>
        </w:rPr>
        <w:t>常州市钟楼区北港街道办事处（人民武装部）基层规范化</w:t>
      </w:r>
    </w:p>
    <w:p>
      <w:pPr>
        <w:pStyle w:val="3"/>
        <w:adjustRightInd w:val="0"/>
        <w:snapToGrid w:val="0"/>
        <w:spacing w:line="360" w:lineRule="auto"/>
        <w:rPr>
          <w:rFonts w:ascii="宋体" w:hAnsi="宋体" w:cs="宋体"/>
          <w:b w:val="0"/>
          <w:bCs/>
        </w:rPr>
      </w:pPr>
      <w:r>
        <w:rPr>
          <w:rFonts w:hint="eastAsia" w:ascii="宋体" w:hAnsi="宋体" w:cs="宋体"/>
          <w:szCs w:val="32"/>
        </w:rPr>
        <w:t>建设物资装备采购项目</w:t>
      </w:r>
      <w:r>
        <w:rPr>
          <w:rFonts w:hint="eastAsia" w:ascii="宋体" w:hAnsi="宋体" w:cs="宋体"/>
        </w:rPr>
        <w:t>竞争性谈判公告</w:t>
      </w:r>
      <w:bookmarkEnd w:id="0"/>
      <w:r>
        <w:rPr>
          <w:rFonts w:hint="eastAsia" w:ascii="宋体" w:hAnsi="宋体" w:cs="宋体"/>
        </w:rPr>
        <w:t>（二次）</w:t>
      </w:r>
    </w:p>
    <w:p>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ascii="宋体" w:hAnsi="宋体" w:cs="宋体"/>
          <w:szCs w:val="21"/>
        </w:rPr>
      </w:pPr>
      <w:r>
        <w:rPr>
          <w:rFonts w:hint="eastAsia" w:ascii="宋体" w:hAnsi="宋体" w:cs="宋体"/>
          <w:b/>
          <w:bCs/>
          <w:szCs w:val="21"/>
        </w:rPr>
        <w:t>常州市钟楼区北港街道办事处（人民武装部）基层规范化建设物资装备采购项目</w:t>
      </w:r>
      <w:r>
        <w:rPr>
          <w:rFonts w:hint="eastAsia" w:ascii="宋体" w:hAnsi="宋体" w:cs="宋体"/>
          <w:szCs w:val="21"/>
        </w:rPr>
        <w:t>的潜在供应商应在常州市城投建设工程招标有限公司获取采购文件，并于</w:t>
      </w:r>
      <w:r>
        <w:rPr>
          <w:rFonts w:hint="eastAsia" w:ascii="宋体" w:hAnsi="宋体" w:cs="宋体"/>
          <w:b/>
          <w:bCs/>
        </w:rPr>
        <w:t>2020年9月</w:t>
      </w:r>
      <w:r>
        <w:rPr>
          <w:rFonts w:hint="eastAsia" w:ascii="宋体" w:hAnsi="宋体" w:cs="宋体"/>
          <w:b/>
          <w:bCs/>
          <w:lang w:val="en-US" w:eastAsia="zh-CN"/>
        </w:rPr>
        <w:t>30</w:t>
      </w:r>
      <w:r>
        <w:rPr>
          <w:rFonts w:hint="eastAsia" w:ascii="宋体" w:hAnsi="宋体" w:cs="宋体"/>
          <w:b/>
          <w:bCs/>
        </w:rPr>
        <w:t>日</w:t>
      </w:r>
      <w:r>
        <w:rPr>
          <w:rFonts w:hint="eastAsia" w:ascii="宋体" w:hAnsi="宋体" w:cs="宋体"/>
          <w:b/>
          <w:bCs/>
          <w:lang w:val="en-US" w:eastAsia="zh-CN"/>
        </w:rPr>
        <w:t>13</w:t>
      </w:r>
      <w:r>
        <w:rPr>
          <w:rFonts w:hint="eastAsia" w:ascii="宋体" w:hAnsi="宋体" w:cs="宋体"/>
          <w:b/>
          <w:bCs/>
        </w:rPr>
        <w:t>点</w:t>
      </w:r>
      <w:r>
        <w:rPr>
          <w:rFonts w:hint="eastAsia" w:ascii="宋体" w:hAnsi="宋体" w:cs="宋体"/>
          <w:b/>
          <w:bCs/>
          <w:lang w:val="en-US" w:eastAsia="zh-CN"/>
        </w:rPr>
        <w:t>30</w:t>
      </w:r>
      <w:r>
        <w:rPr>
          <w:rFonts w:hint="eastAsia" w:ascii="宋体" w:hAnsi="宋体" w:cs="宋体"/>
          <w:b/>
          <w:bCs/>
        </w:rPr>
        <w:t>分（北京时间）</w:t>
      </w:r>
      <w:r>
        <w:rPr>
          <w:rFonts w:hint="eastAsia" w:ascii="宋体" w:hAnsi="宋体" w:cs="宋体"/>
          <w:szCs w:val="21"/>
        </w:rPr>
        <w:t>前提交响应文件。</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一、项目基本情况</w:t>
      </w:r>
    </w:p>
    <w:p>
      <w:pPr>
        <w:adjustRightInd w:val="0"/>
        <w:snapToGrid w:val="0"/>
        <w:spacing w:line="360" w:lineRule="exact"/>
        <w:ind w:firstLine="420" w:firstLineChars="200"/>
        <w:rPr>
          <w:rFonts w:hint="eastAsia" w:ascii="宋体" w:hAnsi="宋体" w:eastAsia="宋体" w:cs="宋体"/>
          <w:bCs/>
          <w:szCs w:val="21"/>
          <w:lang w:eastAsia="zh-CN"/>
        </w:rPr>
      </w:pPr>
      <w:r>
        <w:rPr>
          <w:rFonts w:hint="eastAsia" w:ascii="宋体" w:hAnsi="宋体" w:cs="宋体"/>
          <w:szCs w:val="21"/>
        </w:rPr>
        <w:t>1.项目编号：</w:t>
      </w:r>
      <w:r>
        <w:rPr>
          <w:rFonts w:hint="eastAsia" w:ascii="宋体" w:hAnsi="宋体" w:cs="宋体"/>
          <w:bCs/>
          <w:szCs w:val="21"/>
          <w:lang w:eastAsia="zh-CN"/>
        </w:rPr>
        <w:t>CT-SJ-2020065-1</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2.项目名称：常州市钟楼区北港街道办事处（人民武装部）基层规范化建设物资装备</w:t>
      </w:r>
    </w:p>
    <w:p>
      <w:pPr>
        <w:adjustRightInd w:val="0"/>
        <w:snapToGrid w:val="0"/>
        <w:spacing w:line="360" w:lineRule="exact"/>
        <w:ind w:firstLine="1680" w:firstLineChars="800"/>
        <w:rPr>
          <w:rFonts w:ascii="宋体" w:hAnsi="宋体" w:cs="宋体"/>
          <w:szCs w:val="21"/>
        </w:rPr>
      </w:pPr>
      <w:r>
        <w:rPr>
          <w:rFonts w:hint="eastAsia" w:ascii="宋体" w:hAnsi="宋体" w:cs="宋体"/>
          <w:szCs w:val="21"/>
        </w:rPr>
        <w:t>采购项目</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3.采购方式：竞争性谈判</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4.预算金额：人民币15万元</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5.最高限价：人民币15万元</w:t>
      </w:r>
    </w:p>
    <w:p>
      <w:pPr>
        <w:adjustRightInd w:val="0"/>
        <w:snapToGrid w:val="0"/>
        <w:spacing w:line="360" w:lineRule="exact"/>
        <w:ind w:firstLine="420" w:firstLineChars="200"/>
        <w:rPr>
          <w:rFonts w:ascii="宋体" w:hAnsi="宋体" w:cs="宋体"/>
          <w:b/>
          <w:spacing w:val="2"/>
          <w:szCs w:val="21"/>
        </w:rPr>
      </w:pPr>
      <w:r>
        <w:rPr>
          <w:rFonts w:hint="eastAsia" w:ascii="宋体" w:hAnsi="宋体" w:cs="宋体"/>
          <w:szCs w:val="21"/>
        </w:rPr>
        <w:t>6.采购需求：货物的制造（采购）、运输、装卸、安装调试以及质保等全部工作。</w:t>
      </w:r>
    </w:p>
    <w:p>
      <w:pPr>
        <w:adjustRightInd w:val="0"/>
        <w:snapToGrid w:val="0"/>
        <w:spacing w:line="360" w:lineRule="exact"/>
        <w:ind w:right="210" w:firstLine="420" w:firstLineChars="200"/>
        <w:jc w:val="left"/>
        <w:rPr>
          <w:rFonts w:ascii="宋体" w:hAnsi="宋体" w:cs="宋体"/>
          <w:szCs w:val="21"/>
        </w:rPr>
      </w:pPr>
      <w:r>
        <w:rPr>
          <w:rFonts w:hint="eastAsia" w:ascii="宋体" w:hAnsi="宋体" w:cs="宋体"/>
          <w:szCs w:val="21"/>
        </w:rPr>
        <w:t>7.合同履行期限：</w:t>
      </w:r>
      <w:r>
        <w:rPr>
          <w:rFonts w:hint="eastAsia" w:ascii="宋体" w:hAnsi="宋体" w:cs="宋体"/>
          <w:bCs/>
          <w:szCs w:val="21"/>
        </w:rPr>
        <w:t>合同签订后10日内送至采购人指定地点并安装调试完成。</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8.本项目不接受联合体。</w:t>
      </w:r>
    </w:p>
    <w:p>
      <w:pPr>
        <w:adjustRightInd w:val="0"/>
        <w:snapToGrid w:val="0"/>
        <w:spacing w:line="360" w:lineRule="exact"/>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1.在中华人民共和国境内注册，具有独立承担民事责任的能力；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2.具有良好的商业信誉和健全的财务会计制度；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3.具有履行合同所必需的设备和专业技术能力；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4.有依法缴纳税收和社会保障资金的良好记录；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5.参加采购活动前三年内，在经营活动中没有重大违法记录；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6.法律、行政法规规定的其他条件；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8.未被“信用中国”网站（www.creditchina.gov.cn）、中国政府采购网(www.ccgp.gov.cn)列入失信被执行人、重大税收违法案件当事人名单、政府采购严重失信行为记录名单。</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三、获取采购文件</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1.时间：</w:t>
      </w:r>
      <w:r>
        <w:rPr>
          <w:rFonts w:hint="eastAsia" w:ascii="宋体" w:hAnsi="宋体" w:cs="宋体"/>
          <w:b/>
          <w:bCs/>
          <w:kern w:val="0"/>
          <w:szCs w:val="21"/>
        </w:rPr>
        <w:t>2020年</w:t>
      </w:r>
      <w:r>
        <w:rPr>
          <w:rFonts w:hint="eastAsia" w:ascii="宋体" w:hAnsi="宋体" w:cs="宋体"/>
          <w:b/>
          <w:bCs/>
          <w:kern w:val="0"/>
          <w:szCs w:val="21"/>
          <w:lang w:val="en-US" w:eastAsia="zh-CN"/>
        </w:rPr>
        <w:t>9</w:t>
      </w:r>
      <w:r>
        <w:rPr>
          <w:rFonts w:hint="eastAsia" w:ascii="宋体" w:hAnsi="宋体" w:cs="宋体"/>
          <w:b/>
          <w:bCs/>
          <w:kern w:val="0"/>
          <w:szCs w:val="21"/>
        </w:rPr>
        <w:t>月2</w:t>
      </w:r>
      <w:r>
        <w:rPr>
          <w:rFonts w:hint="eastAsia" w:ascii="宋体" w:hAnsi="宋体" w:cs="宋体"/>
          <w:b/>
          <w:bCs/>
          <w:kern w:val="0"/>
          <w:szCs w:val="21"/>
          <w:lang w:val="en-US" w:eastAsia="zh-CN"/>
        </w:rPr>
        <w:t>5</w:t>
      </w:r>
      <w:r>
        <w:rPr>
          <w:rFonts w:hint="eastAsia" w:ascii="宋体" w:hAnsi="宋体" w:cs="宋体"/>
          <w:b/>
          <w:bCs/>
          <w:kern w:val="0"/>
          <w:szCs w:val="21"/>
        </w:rPr>
        <w:t>日起</w:t>
      </w:r>
    </w:p>
    <w:p>
      <w:pPr>
        <w:adjustRightInd w:val="0"/>
        <w:snapToGrid w:val="0"/>
        <w:spacing w:line="360" w:lineRule="exact"/>
        <w:ind w:firstLine="420" w:firstLineChars="200"/>
        <w:rPr>
          <w:rFonts w:ascii="宋体" w:hAnsi="宋体" w:cs="宋体"/>
        </w:rPr>
      </w:pPr>
      <w:r>
        <w:rPr>
          <w:rFonts w:hint="eastAsia" w:ascii="宋体" w:hAnsi="宋体" w:cs="宋体"/>
          <w:szCs w:val="21"/>
        </w:rPr>
        <w:t>2.地点：</w:t>
      </w:r>
      <w:r>
        <w:rPr>
          <w:rFonts w:hint="eastAsia" w:ascii="宋体" w:hAnsi="宋体" w:cs="宋体"/>
          <w:kern w:val="0"/>
          <w:szCs w:val="21"/>
        </w:rPr>
        <w:t>常州市城投建设工程招标有限公司（常州市新北区通江中路396号中创大厦4楼）</w:t>
      </w:r>
      <w:r>
        <w:rPr>
          <w:rFonts w:hint="eastAsia" w:ascii="宋体" w:hAnsi="宋体" w:cs="宋体"/>
        </w:rPr>
        <w:t xml:space="preserve"> </w:t>
      </w:r>
    </w:p>
    <w:p>
      <w:pPr>
        <w:adjustRightInd w:val="0"/>
        <w:snapToGrid w:val="0"/>
        <w:spacing w:line="360" w:lineRule="exact"/>
        <w:ind w:firstLine="420" w:firstLineChars="200"/>
        <w:rPr>
          <w:rFonts w:ascii="宋体" w:hAnsi="宋体" w:cs="宋体"/>
          <w:bCs/>
          <w:kern w:val="0"/>
          <w:szCs w:val="21"/>
        </w:rPr>
      </w:pPr>
      <w:r>
        <w:rPr>
          <w:rFonts w:hint="eastAsia" w:ascii="宋体" w:hAnsi="宋体" w:cs="宋体"/>
          <w:szCs w:val="21"/>
        </w:rPr>
        <w:t>3.方式：</w:t>
      </w:r>
      <w:r>
        <w:rPr>
          <w:rFonts w:hint="eastAsia" w:ascii="宋体" w:hAnsi="宋体" w:cs="宋体"/>
          <w:bCs/>
          <w:kern w:val="0"/>
          <w:szCs w:val="21"/>
        </w:rPr>
        <w:t>符合条件的供应商从常州市城投建设工程招标有限公司（www.czctzb.com）网站自行下载竞争性谈判文件，谈判现场交纳竞争性谈判文件费用。</w:t>
      </w:r>
    </w:p>
    <w:p>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4.售价：</w:t>
      </w:r>
      <w:r>
        <w:rPr>
          <w:rFonts w:hint="eastAsia" w:ascii="宋体" w:hAnsi="宋体" w:cs="宋体"/>
          <w:kern w:val="0"/>
          <w:szCs w:val="21"/>
        </w:rPr>
        <w:t>人民币伍佰元整</w:t>
      </w:r>
    </w:p>
    <w:p>
      <w:pPr>
        <w:adjustRightInd w:val="0"/>
        <w:snapToGrid w:val="0"/>
        <w:spacing w:line="360" w:lineRule="exact"/>
        <w:ind w:firstLine="422" w:firstLineChars="200"/>
        <w:rPr>
          <w:rFonts w:ascii="宋体" w:hAnsi="宋体" w:cs="宋体"/>
          <w:b/>
        </w:rPr>
      </w:pPr>
      <w:r>
        <w:rPr>
          <w:rFonts w:hint="eastAsia" w:ascii="宋体" w:hAnsi="宋体" w:cs="宋体"/>
          <w:b/>
        </w:rPr>
        <w:t>四、响应文件提交</w:t>
      </w:r>
    </w:p>
    <w:p>
      <w:pPr>
        <w:adjustRightInd w:val="0"/>
        <w:snapToGrid w:val="0"/>
        <w:spacing w:line="360" w:lineRule="exact"/>
        <w:ind w:firstLine="422" w:firstLineChars="200"/>
        <w:rPr>
          <w:rFonts w:ascii="宋体" w:hAnsi="宋体" w:cs="宋体"/>
          <w:b/>
          <w:bCs/>
        </w:rPr>
      </w:pPr>
      <w:r>
        <w:rPr>
          <w:rFonts w:hint="eastAsia" w:ascii="宋体" w:hAnsi="宋体" w:cs="宋体"/>
          <w:b/>
          <w:bCs/>
        </w:rPr>
        <w:t>截止时间：2020年9月</w:t>
      </w:r>
      <w:r>
        <w:rPr>
          <w:rFonts w:hint="eastAsia" w:ascii="宋体" w:hAnsi="宋体" w:cs="宋体"/>
          <w:b/>
          <w:bCs/>
          <w:lang w:val="en-US" w:eastAsia="zh-CN"/>
        </w:rPr>
        <w:t>30</w:t>
      </w:r>
      <w:r>
        <w:rPr>
          <w:rFonts w:hint="eastAsia" w:ascii="宋体" w:hAnsi="宋体" w:cs="宋体"/>
          <w:b/>
          <w:bCs/>
        </w:rPr>
        <w:t>日</w:t>
      </w:r>
      <w:r>
        <w:rPr>
          <w:rFonts w:hint="eastAsia" w:ascii="宋体" w:hAnsi="宋体" w:cs="宋体"/>
          <w:b/>
          <w:bCs/>
          <w:lang w:val="en-US" w:eastAsia="zh-CN"/>
        </w:rPr>
        <w:t>13</w:t>
      </w:r>
      <w:r>
        <w:rPr>
          <w:rFonts w:hint="eastAsia" w:ascii="宋体" w:hAnsi="宋体" w:cs="宋体"/>
          <w:b/>
          <w:bCs/>
        </w:rPr>
        <w:t>点</w:t>
      </w:r>
      <w:r>
        <w:rPr>
          <w:rFonts w:hint="eastAsia" w:ascii="宋体" w:hAnsi="宋体" w:cs="宋体"/>
          <w:b/>
          <w:bCs/>
          <w:lang w:val="en-US" w:eastAsia="zh-CN"/>
        </w:rPr>
        <w:t>30</w:t>
      </w:r>
      <w:r>
        <w:rPr>
          <w:rFonts w:hint="eastAsia" w:ascii="宋体" w:hAnsi="宋体" w:cs="宋体"/>
          <w:b/>
          <w:bCs/>
        </w:rPr>
        <w:t>分（北京时间）</w:t>
      </w:r>
    </w:p>
    <w:p>
      <w:pPr>
        <w:adjustRightInd w:val="0"/>
        <w:snapToGrid w:val="0"/>
        <w:spacing w:line="360" w:lineRule="exact"/>
        <w:ind w:firstLine="422" w:firstLineChars="200"/>
        <w:rPr>
          <w:rFonts w:ascii="宋体" w:hAnsi="宋体" w:cs="宋体"/>
          <w:b/>
          <w:bCs/>
        </w:rPr>
      </w:pPr>
      <w:r>
        <w:rPr>
          <w:rFonts w:hint="eastAsia" w:ascii="宋体" w:hAnsi="宋体" w:cs="宋体"/>
          <w:b/>
          <w:bCs/>
        </w:rPr>
        <w:t>地点：常州市城投建设工程招标有限公司（常州市新北区通江中路396号中创大厦4楼）</w:t>
      </w:r>
    </w:p>
    <w:p>
      <w:pPr>
        <w:adjustRightInd w:val="0"/>
        <w:snapToGrid w:val="0"/>
        <w:spacing w:line="360" w:lineRule="exact"/>
        <w:ind w:firstLine="422" w:firstLineChars="200"/>
        <w:rPr>
          <w:rFonts w:ascii="宋体" w:hAnsi="宋体" w:cs="宋体"/>
          <w:b/>
        </w:rPr>
      </w:pPr>
      <w:r>
        <w:rPr>
          <w:rFonts w:hint="eastAsia" w:ascii="宋体" w:hAnsi="宋体" w:cs="宋体"/>
          <w:b/>
        </w:rPr>
        <w:t>五、开启</w:t>
      </w:r>
    </w:p>
    <w:p>
      <w:pPr>
        <w:adjustRightInd w:val="0"/>
        <w:snapToGrid w:val="0"/>
        <w:spacing w:line="360" w:lineRule="exact"/>
        <w:ind w:firstLine="422" w:firstLineChars="200"/>
        <w:rPr>
          <w:rFonts w:ascii="宋体" w:hAnsi="宋体" w:cs="宋体"/>
          <w:b/>
          <w:bCs/>
        </w:rPr>
      </w:pPr>
      <w:r>
        <w:rPr>
          <w:rFonts w:hint="eastAsia" w:ascii="宋体" w:hAnsi="宋体" w:cs="宋体"/>
          <w:b/>
          <w:bCs/>
        </w:rPr>
        <w:t>时间：2020年9月</w:t>
      </w:r>
      <w:r>
        <w:rPr>
          <w:rFonts w:hint="eastAsia" w:ascii="宋体" w:hAnsi="宋体" w:cs="宋体"/>
          <w:b/>
          <w:bCs/>
          <w:lang w:val="en-US" w:eastAsia="zh-CN"/>
        </w:rPr>
        <w:t>30</w:t>
      </w:r>
      <w:r>
        <w:rPr>
          <w:rFonts w:hint="eastAsia" w:ascii="宋体" w:hAnsi="宋体" w:cs="宋体"/>
          <w:b/>
          <w:bCs/>
        </w:rPr>
        <w:t>日</w:t>
      </w:r>
      <w:r>
        <w:rPr>
          <w:rFonts w:hint="eastAsia" w:ascii="宋体" w:hAnsi="宋体" w:cs="宋体"/>
          <w:b/>
          <w:bCs/>
          <w:lang w:val="en-US" w:eastAsia="zh-CN"/>
        </w:rPr>
        <w:t>13</w:t>
      </w:r>
      <w:r>
        <w:rPr>
          <w:rFonts w:hint="eastAsia" w:ascii="宋体" w:hAnsi="宋体" w:cs="宋体"/>
          <w:b/>
          <w:bCs/>
        </w:rPr>
        <w:t>点</w:t>
      </w:r>
      <w:r>
        <w:rPr>
          <w:rFonts w:hint="eastAsia" w:ascii="宋体" w:hAnsi="宋体" w:cs="宋体"/>
          <w:b/>
          <w:bCs/>
          <w:lang w:val="en-US" w:eastAsia="zh-CN"/>
        </w:rPr>
        <w:t>30</w:t>
      </w:r>
      <w:r>
        <w:rPr>
          <w:rFonts w:hint="eastAsia" w:ascii="宋体" w:hAnsi="宋体" w:cs="宋体"/>
          <w:b/>
          <w:bCs/>
        </w:rPr>
        <w:t>分（北京时间）</w:t>
      </w:r>
    </w:p>
    <w:p>
      <w:pPr>
        <w:adjustRightInd w:val="0"/>
        <w:snapToGrid w:val="0"/>
        <w:spacing w:line="360" w:lineRule="exact"/>
        <w:ind w:firstLine="422" w:firstLineChars="200"/>
        <w:rPr>
          <w:rFonts w:ascii="宋体" w:hAnsi="宋体" w:cs="宋体"/>
          <w:b/>
          <w:bCs/>
        </w:rPr>
      </w:pPr>
      <w:r>
        <w:rPr>
          <w:rFonts w:hint="eastAsia" w:ascii="宋体" w:hAnsi="宋体" w:cs="宋体"/>
          <w:b/>
          <w:bCs/>
        </w:rPr>
        <w:t>地点：常州市城投建设工程招标有限公司（常州市新北区通江中路396号中创大厦4楼）</w:t>
      </w:r>
    </w:p>
    <w:p>
      <w:pPr>
        <w:adjustRightInd w:val="0"/>
        <w:snapToGrid w:val="0"/>
        <w:spacing w:line="360" w:lineRule="exact"/>
        <w:ind w:firstLine="422" w:firstLineChars="200"/>
        <w:rPr>
          <w:rFonts w:ascii="宋体" w:hAnsi="宋体" w:cs="宋体"/>
          <w:b/>
        </w:rPr>
      </w:pPr>
      <w:r>
        <w:rPr>
          <w:rFonts w:hint="eastAsia" w:ascii="宋体" w:hAnsi="宋体" w:cs="宋体"/>
          <w:b/>
        </w:rPr>
        <w:t>六、公告期限</w:t>
      </w:r>
    </w:p>
    <w:p>
      <w:pPr>
        <w:adjustRightInd w:val="0"/>
        <w:snapToGrid w:val="0"/>
        <w:spacing w:line="360" w:lineRule="exact"/>
        <w:ind w:firstLine="420" w:firstLineChars="200"/>
        <w:rPr>
          <w:rFonts w:ascii="宋体" w:hAnsi="宋体" w:cs="宋体"/>
        </w:rPr>
      </w:pPr>
      <w:r>
        <w:rPr>
          <w:rFonts w:hint="eastAsia" w:ascii="宋体" w:hAnsi="宋体" w:cs="宋体"/>
        </w:rPr>
        <w:t>自本公告发布之日起</w:t>
      </w:r>
      <w:r>
        <w:rPr>
          <w:rFonts w:hint="eastAsia" w:ascii="宋体" w:hAnsi="宋体" w:cs="宋体"/>
          <w:lang w:val="en-US" w:eastAsia="zh-CN"/>
        </w:rPr>
        <w:t>3</w:t>
      </w:r>
      <w:r>
        <w:rPr>
          <w:rFonts w:hint="eastAsia" w:ascii="宋体" w:hAnsi="宋体" w:cs="宋体"/>
        </w:rPr>
        <w:t>个工作日。</w:t>
      </w:r>
    </w:p>
    <w:p>
      <w:pPr>
        <w:adjustRightInd w:val="0"/>
        <w:snapToGrid w:val="0"/>
        <w:spacing w:line="360" w:lineRule="exact"/>
        <w:ind w:firstLine="422" w:firstLineChars="200"/>
        <w:rPr>
          <w:rFonts w:ascii="宋体" w:hAnsi="宋体" w:cs="宋体"/>
          <w:b/>
        </w:rPr>
      </w:pPr>
      <w:r>
        <w:rPr>
          <w:rFonts w:hint="eastAsia" w:ascii="宋体" w:hAnsi="宋体" w:cs="宋体"/>
          <w:b/>
        </w:rPr>
        <w:t>七、其他补充事宜</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1.标前答疑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w:t>
      </w:r>
      <w:r>
        <w:fldChar w:fldCharType="begin"/>
      </w:r>
      <w:r>
        <w:instrText xml:space="preserve"> HYPERLINK "mailto:czctzb@163.com" </w:instrText>
      </w:r>
      <w:r>
        <w:fldChar w:fldCharType="separate"/>
      </w:r>
      <w:r>
        <w:rPr>
          <w:rStyle w:val="25"/>
          <w:rFonts w:hint="eastAsia" w:ascii="宋体" w:hAnsi="宋体" w:cs="宋体"/>
          <w:color w:val="auto"/>
          <w:szCs w:val="21"/>
        </w:rPr>
        <w:t>czctzb@163.com</w:t>
      </w:r>
      <w:r>
        <w:rPr>
          <w:rStyle w:val="25"/>
          <w:rFonts w:hint="eastAsia" w:ascii="宋体" w:hAnsi="宋体" w:cs="宋体"/>
          <w:color w:val="auto"/>
          <w:szCs w:val="21"/>
        </w:rPr>
        <w:fldChar w:fldCharType="end"/>
      </w:r>
      <w:r>
        <w:rPr>
          <w:rFonts w:hint="eastAsia" w:ascii="宋体" w:hAnsi="宋体" w:cs="宋体"/>
          <w:szCs w:val="21"/>
        </w:rPr>
        <w:t>。</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2.谈判保证金</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谈判保证金数额：</w:t>
      </w:r>
      <w:r>
        <w:rPr>
          <w:rFonts w:hint="eastAsia" w:ascii="宋体" w:hAnsi="宋体" w:cs="宋体"/>
          <w:b/>
          <w:szCs w:val="21"/>
        </w:rPr>
        <w:t>人民币叁仟元整</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谈判保证金</w:t>
      </w:r>
      <w:r>
        <w:rPr>
          <w:rFonts w:hint="eastAsia" w:ascii="宋体" w:hAnsi="宋体" w:cs="宋体"/>
          <w:b/>
          <w:szCs w:val="21"/>
        </w:rPr>
        <w:t>到账截止时间</w:t>
      </w:r>
      <w:r>
        <w:rPr>
          <w:rFonts w:hint="eastAsia" w:ascii="宋体" w:hAnsi="宋体" w:cs="宋体"/>
          <w:szCs w:val="21"/>
        </w:rPr>
        <w:t>：</w:t>
      </w:r>
      <w:r>
        <w:rPr>
          <w:rFonts w:hint="eastAsia" w:ascii="宋体" w:hAnsi="宋体" w:cs="宋体"/>
          <w:b/>
          <w:szCs w:val="21"/>
        </w:rPr>
        <w:t>同谈判响应文件提交截止时间</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谈判保证金交纳方式：银行电汇或转账</w:t>
      </w:r>
      <w:r>
        <w:rPr>
          <w:rFonts w:hint="eastAsia" w:ascii="宋体" w:hAnsi="宋体" w:cs="宋体"/>
          <w:b/>
          <w:bCs/>
          <w:szCs w:val="21"/>
        </w:rPr>
        <w:t>（备注项目编号）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3.常州市城投建设工程招标有限公司账户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收款单位：常州市城投建设工程招标有限公司</w:t>
      </w:r>
    </w:p>
    <w:p>
      <w:pPr>
        <w:adjustRightInd w:val="0"/>
        <w:snapToGrid w:val="0"/>
        <w:spacing w:line="360" w:lineRule="exact"/>
        <w:ind w:firstLine="420" w:firstLineChars="200"/>
        <w:rPr>
          <w:rFonts w:ascii="宋体" w:hAnsi="宋体" w:cs="宋体"/>
        </w:rPr>
      </w:pPr>
      <w:r>
        <w:rPr>
          <w:rFonts w:hint="eastAsia" w:ascii="宋体" w:hAnsi="宋体" w:cs="宋体"/>
        </w:rPr>
        <w:t>开户银行：江苏银行常州新北支行</w:t>
      </w:r>
    </w:p>
    <w:p>
      <w:pPr>
        <w:adjustRightInd w:val="0"/>
        <w:snapToGrid w:val="0"/>
        <w:spacing w:line="360" w:lineRule="exact"/>
        <w:ind w:firstLine="420" w:firstLineChars="200"/>
        <w:rPr>
          <w:rFonts w:ascii="宋体" w:hAnsi="宋体" w:cs="宋体"/>
        </w:rPr>
      </w:pPr>
      <w:r>
        <w:rPr>
          <w:rFonts w:hint="eastAsia" w:ascii="宋体" w:hAnsi="宋体" w:cs="宋体"/>
        </w:rPr>
        <w:t>银行账号：8260 0188 0002 45718</w:t>
      </w:r>
    </w:p>
    <w:p>
      <w:pPr>
        <w:adjustRightInd w:val="0"/>
        <w:snapToGrid w:val="0"/>
        <w:spacing w:line="360" w:lineRule="exact"/>
        <w:ind w:firstLine="422" w:firstLineChars="200"/>
        <w:rPr>
          <w:rFonts w:ascii="宋体" w:hAnsi="宋体" w:cs="宋体"/>
          <w:b/>
          <w:bCs/>
          <w:szCs w:val="21"/>
        </w:rPr>
      </w:pPr>
      <w:r>
        <w:rPr>
          <w:rFonts w:hint="eastAsia" w:ascii="宋体" w:hAnsi="宋体" w:cs="宋体"/>
          <w:b/>
          <w:kern w:val="0"/>
          <w:szCs w:val="21"/>
        </w:rPr>
        <w:t>4.</w:t>
      </w:r>
      <w:r>
        <w:rPr>
          <w:rFonts w:hint="eastAsia" w:ascii="宋体" w:hAnsi="宋体" w:cs="宋体"/>
          <w:b/>
          <w:bCs/>
          <w:szCs w:val="21"/>
        </w:rPr>
        <w:t>竞争性谈判文件售后一概不退。供应商提交的谈判响应文件概不退还。一经领购，供应商不得更改单位名称。</w:t>
      </w:r>
    </w:p>
    <w:p>
      <w:pPr>
        <w:adjustRightInd w:val="0"/>
        <w:snapToGrid w:val="0"/>
        <w:spacing w:line="360" w:lineRule="exact"/>
        <w:ind w:firstLine="422" w:firstLineChars="200"/>
        <w:rPr>
          <w:rFonts w:ascii="宋体" w:hAnsi="宋体" w:cs="宋体"/>
          <w:b/>
          <w:kern w:val="0"/>
          <w:szCs w:val="21"/>
        </w:rPr>
      </w:pPr>
      <w:r>
        <w:rPr>
          <w:rFonts w:hint="eastAsia" w:ascii="宋体" w:hAnsi="宋体" w:cs="宋体"/>
          <w:b/>
          <w:bCs/>
          <w:szCs w:val="21"/>
        </w:rPr>
        <w:t>5.</w:t>
      </w:r>
      <w:r>
        <w:rPr>
          <w:rFonts w:hint="eastAsia" w:ascii="宋体" w:hAnsi="宋体" w:cs="宋体"/>
          <w:b/>
          <w:kern w:val="0"/>
          <w:szCs w:val="21"/>
        </w:rPr>
        <w:t>疫情防控措施</w:t>
      </w:r>
    </w:p>
    <w:p>
      <w:pPr>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（4）适当限制参与开评标活动人数。疫情期间，为减少人员聚集，除采购人授权代表和供应商授权代表外，其他人员原则上不安排进入开评标场所。特殊情况应事先与公司人员联系。</w:t>
      </w:r>
    </w:p>
    <w:p>
      <w:pPr>
        <w:adjustRightInd w:val="0"/>
        <w:snapToGrid w:val="0"/>
        <w:spacing w:line="360" w:lineRule="exact"/>
        <w:ind w:firstLine="420" w:firstLineChars="200"/>
        <w:rPr>
          <w:rFonts w:ascii="宋体" w:hAnsi="宋体" w:cs="宋体"/>
          <w:kern w:val="0"/>
          <w:szCs w:val="21"/>
        </w:rPr>
      </w:pPr>
      <w:r>
        <w:rPr>
          <w:rFonts w:hint="eastAsia" w:ascii="宋体" w:hAnsi="宋体" w:cs="宋体"/>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adjustRightInd w:val="0"/>
        <w:snapToGrid w:val="0"/>
        <w:spacing w:line="360" w:lineRule="exact"/>
        <w:ind w:firstLine="420" w:firstLineChars="200"/>
        <w:rPr>
          <w:rFonts w:ascii="宋体" w:hAnsi="宋体" w:cs="宋体"/>
        </w:rPr>
      </w:pPr>
      <w:r>
        <w:rPr>
          <w:rFonts w:hint="eastAsia" w:ascii="宋体" w:hAnsi="宋体" w:cs="宋体"/>
          <w:kern w:val="0"/>
          <w:szCs w:val="21"/>
        </w:rPr>
        <w:t>（6）因防控工作需要，给采购当事人带来诸多不便，还望多多理解和予以配合。</w:t>
      </w:r>
    </w:p>
    <w:p>
      <w:pPr>
        <w:adjustRightInd w:val="0"/>
        <w:snapToGrid w:val="0"/>
        <w:spacing w:line="360" w:lineRule="exact"/>
        <w:ind w:firstLine="422" w:firstLineChars="200"/>
        <w:rPr>
          <w:rFonts w:ascii="宋体" w:hAnsi="宋体" w:cs="宋体"/>
          <w:b/>
        </w:rPr>
      </w:pPr>
      <w:r>
        <w:rPr>
          <w:rFonts w:hint="eastAsia" w:ascii="宋体" w:hAnsi="宋体" w:cs="宋体"/>
          <w:b/>
        </w:rPr>
        <w:t>八、凡对本次采购提出询问，请按以下方式联系。</w:t>
      </w:r>
    </w:p>
    <w:p>
      <w:pPr>
        <w:adjustRightInd w:val="0"/>
        <w:snapToGrid w:val="0"/>
        <w:spacing w:line="360" w:lineRule="exact"/>
        <w:ind w:firstLine="420" w:firstLineChars="200"/>
        <w:rPr>
          <w:rFonts w:ascii="宋体" w:hAnsi="宋体" w:cs="宋体"/>
        </w:rPr>
      </w:pPr>
      <w:r>
        <w:rPr>
          <w:rFonts w:hint="eastAsia" w:ascii="宋体" w:hAnsi="宋体" w:cs="宋体"/>
        </w:rPr>
        <w:t>1.采购人信息</w:t>
      </w:r>
    </w:p>
    <w:p>
      <w:pPr>
        <w:adjustRightInd w:val="0"/>
        <w:snapToGrid w:val="0"/>
        <w:spacing w:line="360" w:lineRule="exact"/>
        <w:ind w:firstLine="420" w:firstLineChars="200"/>
        <w:rPr>
          <w:rFonts w:ascii="宋体" w:hAnsi="宋体" w:cs="宋体"/>
        </w:rPr>
      </w:pPr>
      <w:r>
        <w:rPr>
          <w:rFonts w:hint="eastAsia" w:ascii="宋体" w:hAnsi="宋体" w:cs="宋体"/>
        </w:rPr>
        <w:t>名    称：常州市钟楼区北港街道办事处（人民武装部）　　　　　　　　　　　　</w:t>
      </w:r>
    </w:p>
    <w:p>
      <w:pPr>
        <w:adjustRightInd w:val="0"/>
        <w:snapToGrid w:val="0"/>
        <w:spacing w:line="360" w:lineRule="exact"/>
        <w:ind w:firstLine="420" w:firstLineChars="200"/>
        <w:rPr>
          <w:rFonts w:ascii="宋体" w:hAnsi="宋体" w:cs="宋体"/>
          <w:spacing w:val="2"/>
          <w:szCs w:val="21"/>
        </w:rPr>
      </w:pPr>
      <w:r>
        <w:rPr>
          <w:rFonts w:hint="eastAsia" w:ascii="宋体" w:hAnsi="宋体" w:cs="宋体"/>
        </w:rPr>
        <w:t>地    址：常州市钟楼区梧桐路2号</w:t>
      </w:r>
    </w:p>
    <w:p>
      <w:pPr>
        <w:adjustRightInd w:val="0"/>
        <w:snapToGrid w:val="0"/>
        <w:spacing w:line="360" w:lineRule="exact"/>
        <w:ind w:firstLine="420" w:firstLineChars="200"/>
        <w:rPr>
          <w:rFonts w:ascii="宋体" w:hAnsi="宋体" w:cs="宋体"/>
        </w:rPr>
      </w:pPr>
      <w:r>
        <w:rPr>
          <w:rFonts w:hint="eastAsia" w:ascii="宋体" w:hAnsi="宋体" w:cs="宋体"/>
        </w:rPr>
        <w:t xml:space="preserve">联系方式：顾先生 0519-88891212　　　　　　 　　　 </w:t>
      </w:r>
    </w:p>
    <w:p>
      <w:pPr>
        <w:adjustRightInd w:val="0"/>
        <w:snapToGrid w:val="0"/>
        <w:spacing w:line="360" w:lineRule="exact"/>
        <w:ind w:firstLine="420" w:firstLineChars="200"/>
        <w:rPr>
          <w:rFonts w:ascii="宋体" w:hAnsi="宋体" w:cs="宋体"/>
        </w:rPr>
      </w:pPr>
      <w:r>
        <w:rPr>
          <w:rFonts w:hint="eastAsia" w:ascii="宋体" w:hAnsi="宋体" w:cs="宋体"/>
        </w:rPr>
        <w:t>2.采购代理机构信息</w:t>
      </w:r>
    </w:p>
    <w:p>
      <w:pPr>
        <w:adjustRightInd w:val="0"/>
        <w:snapToGrid w:val="0"/>
        <w:spacing w:line="360" w:lineRule="exact"/>
        <w:ind w:firstLine="420" w:firstLineChars="200"/>
        <w:rPr>
          <w:rFonts w:ascii="宋体" w:hAnsi="宋体" w:cs="宋体"/>
        </w:rPr>
      </w:pPr>
      <w:r>
        <w:rPr>
          <w:rFonts w:hint="eastAsia" w:ascii="宋体" w:hAnsi="宋体" w:cs="宋体"/>
        </w:rPr>
        <w:t>名    称：常州市城投建设工程招标有限公司　　　　　　　　　　　　</w:t>
      </w:r>
    </w:p>
    <w:p>
      <w:pPr>
        <w:adjustRightInd w:val="0"/>
        <w:snapToGrid w:val="0"/>
        <w:spacing w:line="360" w:lineRule="exact"/>
        <w:ind w:firstLine="420" w:firstLineChars="200"/>
        <w:rPr>
          <w:rFonts w:ascii="宋体" w:hAnsi="宋体" w:cs="宋体"/>
        </w:rPr>
      </w:pPr>
      <w:r>
        <w:rPr>
          <w:rFonts w:hint="eastAsia" w:ascii="宋体" w:hAnsi="宋体" w:cs="宋体"/>
        </w:rPr>
        <w:t>地　　址：</w:t>
      </w:r>
      <w:r>
        <w:rPr>
          <w:rFonts w:hint="eastAsia" w:ascii="宋体" w:hAnsi="宋体" w:cs="宋体"/>
          <w:kern w:val="0"/>
          <w:szCs w:val="21"/>
        </w:rPr>
        <w:t>常州市新北区通江中路396号中创大厦4楼</w:t>
      </w:r>
      <w:r>
        <w:rPr>
          <w:rFonts w:hint="eastAsia" w:ascii="宋体" w:hAnsi="宋体" w:cs="宋体"/>
        </w:rPr>
        <w:t>　　　　　　　　　　　　</w:t>
      </w:r>
    </w:p>
    <w:p>
      <w:pPr>
        <w:adjustRightInd w:val="0"/>
        <w:snapToGrid w:val="0"/>
        <w:spacing w:line="360" w:lineRule="exact"/>
        <w:ind w:firstLine="420" w:firstLineChars="200"/>
        <w:rPr>
          <w:rFonts w:ascii="宋体" w:hAnsi="宋体" w:cs="宋体"/>
        </w:rPr>
      </w:pPr>
      <w:r>
        <w:rPr>
          <w:rFonts w:hint="eastAsia" w:ascii="宋体" w:hAnsi="宋体" w:cs="宋体"/>
        </w:rPr>
        <w:t>联系方式：</w:t>
      </w:r>
      <w:r>
        <w:rPr>
          <w:rFonts w:hint="eastAsia" w:ascii="宋体" w:hAnsi="宋体" w:cs="宋体"/>
          <w:szCs w:val="21"/>
        </w:rPr>
        <w:t>0519-81580101</w:t>
      </w:r>
      <w:r>
        <w:rPr>
          <w:rFonts w:hint="eastAsia" w:ascii="宋体" w:hAnsi="宋体" w:cs="宋体"/>
        </w:rPr>
        <w:t>　　　　　　　　　　　　</w:t>
      </w:r>
    </w:p>
    <w:p>
      <w:pPr>
        <w:adjustRightInd w:val="0"/>
        <w:snapToGrid w:val="0"/>
        <w:spacing w:line="360" w:lineRule="exact"/>
        <w:ind w:firstLine="420" w:firstLineChars="200"/>
        <w:rPr>
          <w:rFonts w:ascii="宋体" w:hAnsi="宋体" w:cs="宋体"/>
        </w:rPr>
      </w:pPr>
      <w:r>
        <w:rPr>
          <w:rFonts w:hint="eastAsia" w:ascii="宋体" w:hAnsi="宋体" w:cs="宋体"/>
        </w:rPr>
        <w:t>3.项目联系方式</w:t>
      </w:r>
    </w:p>
    <w:p>
      <w:pPr>
        <w:adjustRightInd w:val="0"/>
        <w:snapToGrid w:val="0"/>
        <w:spacing w:line="360" w:lineRule="exact"/>
        <w:ind w:firstLine="420" w:firstLineChars="200"/>
        <w:rPr>
          <w:rFonts w:ascii="宋体" w:hAnsi="宋体" w:cs="宋体"/>
        </w:rPr>
      </w:pPr>
      <w:r>
        <w:rPr>
          <w:rFonts w:hint="eastAsia" w:ascii="宋体" w:hAnsi="宋体" w:cs="宋体"/>
        </w:rPr>
        <w:t>项目联系人：袁  婷</w:t>
      </w:r>
    </w:p>
    <w:p>
      <w:pPr>
        <w:overflowPunct w:val="0"/>
        <w:adjustRightInd w:val="0"/>
        <w:snapToGrid w:val="0"/>
        <w:spacing w:line="360" w:lineRule="exact"/>
        <w:ind w:firstLine="420" w:firstLineChars="200"/>
        <w:rPr>
          <w:rFonts w:ascii="宋体" w:hAnsi="宋体" w:cs="宋体"/>
        </w:rPr>
      </w:pPr>
      <w:r>
        <w:rPr>
          <w:rFonts w:hint="eastAsia" w:ascii="宋体" w:hAnsi="宋体" w:cs="宋体"/>
        </w:rPr>
        <w:t>电　 　 话：</w:t>
      </w:r>
      <w:r>
        <w:rPr>
          <w:rFonts w:hint="eastAsia" w:ascii="宋体" w:hAnsi="宋体" w:cs="宋体"/>
          <w:szCs w:val="21"/>
        </w:rPr>
        <w:t>0519-81580152  81580191  81580192（转分机号6013）</w:t>
      </w:r>
      <w:r>
        <w:rPr>
          <w:rFonts w:hint="eastAsia" w:ascii="宋体" w:hAnsi="宋体" w:cs="宋体"/>
        </w:rPr>
        <w:t>　</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tabs>
          <w:tab w:val="left" w:pos="3480"/>
          <w:tab w:val="center" w:pos="4156"/>
        </w:tabs>
        <w:jc w:val="center"/>
        <w:rPr>
          <w:rFonts w:ascii="宋体" w:hAnsi="宋体" w:cs="宋体"/>
          <w:b/>
          <w:bCs/>
          <w:sz w:val="30"/>
          <w:szCs w:val="30"/>
        </w:rPr>
      </w:pPr>
      <w:r>
        <w:rPr>
          <w:rFonts w:hint="eastAsia" w:ascii="宋体" w:hAnsi="宋体" w:cs="宋体"/>
          <w:b/>
          <w:bCs/>
          <w:sz w:val="30"/>
          <w:szCs w:val="30"/>
        </w:rPr>
        <w:br w:type="page"/>
      </w:r>
    </w:p>
    <w:p>
      <w:pPr>
        <w:pStyle w:val="3"/>
        <w:rPr>
          <w:rFonts w:ascii="宋体" w:hAnsi="宋体" w:cs="宋体"/>
        </w:rPr>
      </w:pPr>
      <w:bookmarkStart w:id="1" w:name="_Toc17536925"/>
      <w:r>
        <w:rPr>
          <w:rFonts w:hint="eastAsia" w:ascii="宋体" w:hAnsi="宋体" w:cs="宋体"/>
        </w:rPr>
        <w:t>第一章    总     则</w:t>
      </w:r>
      <w:bookmarkEnd w:id="1"/>
    </w:p>
    <w:p>
      <w:pPr>
        <w:adjustRightInd w:val="0"/>
        <w:snapToGrid w:val="0"/>
        <w:spacing w:line="360" w:lineRule="exact"/>
        <w:rPr>
          <w:rFonts w:ascii="宋体" w:hAnsi="宋体" w:cs="宋体"/>
          <w:b/>
          <w:bCs/>
          <w:szCs w:val="21"/>
        </w:rPr>
      </w:pPr>
      <w:r>
        <w:rPr>
          <w:rFonts w:hint="eastAsia" w:ascii="宋体" w:hAnsi="宋体" w:cs="宋体"/>
          <w:b/>
          <w:bCs/>
          <w:szCs w:val="21"/>
        </w:rPr>
        <w:t>1.采购方式</w:t>
      </w:r>
    </w:p>
    <w:p>
      <w:pPr>
        <w:adjustRightInd w:val="0"/>
        <w:snapToGrid w:val="0"/>
        <w:spacing w:line="360" w:lineRule="exact"/>
        <w:ind w:firstLine="420" w:firstLineChars="200"/>
        <w:rPr>
          <w:rFonts w:ascii="宋体" w:hAnsi="宋体" w:cs="宋体"/>
        </w:rPr>
      </w:pPr>
      <w:r>
        <w:rPr>
          <w:rFonts w:hint="eastAsia" w:ascii="宋体" w:hAnsi="宋体" w:cs="宋体"/>
        </w:rPr>
        <w:t>本次采购采取竞争性谈判方式，本竞争性谈判文件仅适用于谈判公告中所述项目。</w:t>
      </w:r>
    </w:p>
    <w:p>
      <w:pPr>
        <w:adjustRightInd w:val="0"/>
        <w:snapToGrid w:val="0"/>
        <w:spacing w:line="360" w:lineRule="exact"/>
        <w:rPr>
          <w:rFonts w:ascii="宋体" w:hAnsi="宋体" w:cs="宋体"/>
          <w:szCs w:val="21"/>
        </w:rPr>
      </w:pPr>
      <w:r>
        <w:rPr>
          <w:rFonts w:hint="eastAsia" w:ascii="宋体" w:hAnsi="宋体" w:cs="宋体"/>
          <w:b/>
          <w:szCs w:val="21"/>
        </w:rPr>
        <w:t>2.合格的供应商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adjustRightInd w:val="0"/>
        <w:snapToGrid w:val="0"/>
        <w:spacing w:line="360" w:lineRule="exact"/>
        <w:rPr>
          <w:rFonts w:ascii="宋体" w:hAnsi="宋体" w:cs="宋体"/>
          <w:szCs w:val="21"/>
        </w:rPr>
      </w:pPr>
      <w:r>
        <w:rPr>
          <w:rFonts w:hint="eastAsia" w:ascii="宋体" w:hAnsi="宋体" w:cs="宋体"/>
          <w:b/>
          <w:szCs w:val="21"/>
        </w:rPr>
        <w:t>3.谈判费用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参加谈判供应商应自行承担所有与参加谈判有关的费用。无论最终成交结果如何，采购代理机构在任何情况下均无义务和责任承担这些费用。</w:t>
      </w:r>
    </w:p>
    <w:p>
      <w:pPr>
        <w:adjustRightInd w:val="0"/>
        <w:snapToGrid w:val="0"/>
        <w:spacing w:line="360" w:lineRule="exact"/>
        <w:rPr>
          <w:rFonts w:ascii="宋体" w:hAnsi="宋体" w:cs="宋体"/>
          <w:b/>
          <w:szCs w:val="21"/>
        </w:rPr>
      </w:pPr>
      <w:r>
        <w:rPr>
          <w:rFonts w:hint="eastAsia" w:ascii="宋体" w:hAnsi="宋体" w:cs="宋体"/>
          <w:b/>
          <w:szCs w:val="21"/>
        </w:rPr>
        <w:t>4.竞争性谈判文件的组成</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本文件及依法对本文件所作的更正内容均为竞争性谈判文件的组成部分。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供应商应仔细检查竞争性谈判文件是否齐全，如有缺漏，立即与代理机构联系解决。</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供应商一旦参加本项目采购活动，即被认为接受了本竞争性谈判文件的规定和约束。</w:t>
      </w:r>
    </w:p>
    <w:p>
      <w:pPr>
        <w:adjustRightInd w:val="0"/>
        <w:snapToGrid w:val="0"/>
        <w:spacing w:line="360" w:lineRule="exact"/>
        <w:rPr>
          <w:rFonts w:ascii="宋体" w:hAnsi="宋体" w:cs="宋体"/>
          <w:b/>
          <w:szCs w:val="21"/>
        </w:rPr>
      </w:pPr>
      <w:r>
        <w:rPr>
          <w:rFonts w:hint="eastAsia" w:ascii="宋体" w:hAnsi="宋体" w:cs="宋体"/>
          <w:b/>
          <w:szCs w:val="21"/>
        </w:rPr>
        <w:t>5.竞争性谈判文件的补充、澄清、更正</w:t>
      </w:r>
    </w:p>
    <w:p>
      <w:pPr>
        <w:adjustRightInd w:val="0"/>
        <w:snapToGrid w:val="0"/>
        <w:spacing w:line="360" w:lineRule="exact"/>
        <w:ind w:firstLine="420"/>
        <w:rPr>
          <w:rFonts w:ascii="宋体" w:hAnsi="宋体" w:cs="宋体"/>
          <w:bCs/>
          <w:szCs w:val="21"/>
        </w:rPr>
      </w:pPr>
      <w:r>
        <w:rPr>
          <w:rFonts w:hint="eastAsia" w:ascii="宋体" w:hAnsi="宋体" w:cs="宋体"/>
          <w:bCs/>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adjustRightInd w:val="0"/>
        <w:snapToGrid w:val="0"/>
        <w:spacing w:line="360" w:lineRule="exact"/>
        <w:ind w:firstLine="420"/>
        <w:rPr>
          <w:rFonts w:ascii="宋体" w:hAnsi="宋体" w:cs="宋体"/>
          <w:b/>
          <w:bCs/>
          <w:szCs w:val="21"/>
        </w:rPr>
      </w:pPr>
      <w:r>
        <w:rPr>
          <w:rFonts w:hint="eastAsia" w:ascii="宋体" w:hAnsi="宋体" w:cs="宋体"/>
          <w:bCs/>
          <w:szCs w:val="21"/>
        </w:rPr>
        <w:t>5.2供应商提出的与谈判有关的任何问题须在收到竞争性谈判文件后，按规定时间以书面形式提交至采购代理机构，未以书面形式提出或逾期提出的异议将不被接受。</w:t>
      </w:r>
      <w:r>
        <w:rPr>
          <w:rFonts w:hint="eastAsia" w:ascii="宋体" w:hAnsi="宋体" w:cs="宋体"/>
          <w:szCs w:val="21"/>
        </w:rPr>
        <w:t>如无疑问，视作供应商完全响应竞争性谈判文件的条款和要求。</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5.3采购人及代理机构有权对已发出的竞争性谈判文件进行必要的澄清或更正。</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5.4采购人可视具体情况，延长谈判响应文件提交截止时间和谈判时间。</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5.5所有有关</w:t>
      </w:r>
      <w:r>
        <w:rPr>
          <w:rFonts w:hint="eastAsia" w:ascii="宋体" w:hAnsi="宋体" w:cs="宋体"/>
          <w:b/>
          <w:szCs w:val="21"/>
        </w:rPr>
        <w:t>竞争性谈判文件的补充、澄清、更正将在中国招投标网和常州市城投建设工程招标有限公司网公告。上述内容将作为竞争性谈判文件的组成部分，并对供应商具有约束力，由供应商自行关注并获取。</w:t>
      </w:r>
    </w:p>
    <w:p>
      <w:pPr>
        <w:adjustRightInd w:val="0"/>
        <w:snapToGrid w:val="0"/>
        <w:spacing w:line="360" w:lineRule="exact"/>
        <w:rPr>
          <w:rFonts w:ascii="宋体" w:hAnsi="宋体" w:cs="宋体"/>
          <w:b/>
          <w:szCs w:val="21"/>
        </w:rPr>
      </w:pPr>
      <w:r>
        <w:rPr>
          <w:rFonts w:hint="eastAsia" w:ascii="宋体" w:hAnsi="宋体" w:cs="宋体"/>
          <w:b/>
          <w:szCs w:val="21"/>
        </w:rPr>
        <w:t>6.供应商的义务</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6.1 供应商应当认真阅读竞争性谈判文件，完全明了采购项目的内容。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6.2 供应商应当按照竞争性谈判文件的要求编制谈判响应文件。谈判响应文件应对竞争性谈判文件提出的实质性要求和条件作出完全响应。</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6.3 供应商应在谈判响应文件提交截止时间前，将密封的谈判响应文件送达谈判地点。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6.4 供应商不得相互串通谈判报价，不得排挤其他供应商的公平竞争，损害采购人或者其他供应商合法权益。供应商不得与采购人串通，损害国家利益，公众利益或者他人的合法权益。</w:t>
      </w:r>
    </w:p>
    <w:p>
      <w:pPr>
        <w:adjustRightInd w:val="0"/>
        <w:snapToGrid w:val="0"/>
        <w:spacing w:line="360" w:lineRule="exact"/>
        <w:rPr>
          <w:rFonts w:ascii="宋体" w:hAnsi="宋体" w:cs="宋体"/>
          <w:szCs w:val="21"/>
        </w:rPr>
      </w:pPr>
      <w:r>
        <w:rPr>
          <w:rFonts w:hint="eastAsia" w:ascii="宋体" w:hAnsi="宋体" w:cs="宋体"/>
          <w:b/>
          <w:szCs w:val="21"/>
        </w:rPr>
        <w:t>7.谈判报价</w:t>
      </w:r>
    </w:p>
    <w:p>
      <w:pPr>
        <w:tabs>
          <w:tab w:val="left" w:pos="284"/>
        </w:tabs>
        <w:adjustRightInd w:val="0"/>
        <w:snapToGrid w:val="0"/>
        <w:spacing w:line="360" w:lineRule="exact"/>
        <w:ind w:firstLine="420" w:firstLineChars="200"/>
        <w:rPr>
          <w:rFonts w:ascii="宋体" w:hAnsi="宋体" w:cs="宋体"/>
          <w:szCs w:val="21"/>
        </w:rPr>
      </w:pPr>
      <w:r>
        <w:rPr>
          <w:rFonts w:hint="eastAsia" w:ascii="宋体" w:hAnsi="宋体" w:cs="宋体"/>
          <w:szCs w:val="21"/>
        </w:rPr>
        <w:t>7.1 本项目谈判报价应包括完成该项货物或者服务项目所涉及到的一切相关费用，采购人不再支付其他任何费用。</w:t>
      </w:r>
    </w:p>
    <w:p>
      <w:pPr>
        <w:tabs>
          <w:tab w:val="left" w:pos="284"/>
        </w:tabs>
        <w:adjustRightInd w:val="0"/>
        <w:snapToGrid w:val="0"/>
        <w:spacing w:line="360" w:lineRule="exact"/>
        <w:ind w:firstLine="420" w:firstLineChars="200"/>
        <w:rPr>
          <w:rFonts w:ascii="宋体" w:hAnsi="宋体" w:cs="宋体"/>
          <w:szCs w:val="21"/>
        </w:rPr>
      </w:pPr>
      <w:r>
        <w:rPr>
          <w:rFonts w:hint="eastAsia" w:ascii="宋体" w:hAnsi="宋体" w:cs="宋体"/>
          <w:szCs w:val="21"/>
        </w:rPr>
        <w:t>7.2 谈判报价方式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7.2.1 供应商应按照竞争性谈判文件中提供的格式完整填写报价一览表。报价一览表中的报价应与谈判分项报价表的总价完全一致，如有不一致的，以报价一览表的报价为准。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7.2.2报价货币为人民币，评审时以人民币为准。</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7.2.3谈判报价高于最高限价的作为无效响应处理。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7.2.4谈判报价次数：</w:t>
      </w:r>
      <w:r>
        <w:rPr>
          <w:rFonts w:hint="eastAsia" w:ascii="宋体" w:hAnsi="宋体" w:cs="宋体"/>
          <w:b/>
          <w:szCs w:val="21"/>
        </w:rPr>
        <w:t>本项目采用至少二次报价，</w:t>
      </w:r>
      <w:r>
        <w:rPr>
          <w:rFonts w:hint="eastAsia" w:ascii="宋体" w:hAnsi="宋体" w:cs="宋体"/>
          <w:szCs w:val="21"/>
        </w:rPr>
        <w:t>谈判响应文件报价一览表的报价作为首次报价，在谈判结束后，谈判小组应当要求所有实质性响应的供应商在规定时间内提交最后报价，最后报价作为评审依据。</w:t>
      </w:r>
    </w:p>
    <w:p>
      <w:pPr>
        <w:adjustRightInd w:val="0"/>
        <w:snapToGrid w:val="0"/>
        <w:spacing w:line="360" w:lineRule="exact"/>
        <w:rPr>
          <w:rFonts w:ascii="宋体" w:hAnsi="宋体" w:cs="宋体"/>
          <w:szCs w:val="21"/>
        </w:rPr>
      </w:pPr>
      <w:r>
        <w:rPr>
          <w:rFonts w:hint="eastAsia" w:ascii="宋体" w:hAnsi="宋体" w:cs="宋体"/>
          <w:b/>
          <w:szCs w:val="21"/>
        </w:rPr>
        <w:t>8.谈判响应文件的组成</w:t>
      </w:r>
    </w:p>
    <w:p>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 xml:space="preserve"> 详见第五章《谈判响应文件的组成》</w:t>
      </w:r>
    </w:p>
    <w:p>
      <w:pPr>
        <w:adjustRightInd w:val="0"/>
        <w:snapToGrid w:val="0"/>
        <w:spacing w:line="360" w:lineRule="exact"/>
        <w:rPr>
          <w:rFonts w:ascii="宋体" w:hAnsi="宋体" w:cs="宋体"/>
          <w:szCs w:val="21"/>
        </w:rPr>
      </w:pPr>
      <w:r>
        <w:rPr>
          <w:rFonts w:hint="eastAsia" w:ascii="宋体" w:hAnsi="宋体" w:cs="宋体"/>
          <w:b/>
          <w:szCs w:val="21"/>
        </w:rPr>
        <w:t>9.谈判保证金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9.1谈判保证金是谈判响应文件的一个组成部分，供应商须按规定从供应商账户缴纳。谈判时，未按要求缴纳保证金的视为无效响应。</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9.2未成交供应商的保证金将在成交通知书发出后五个工作日内退还。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9.3成交供应商的谈判保证金将在其合同签约完毕（合同须由代理机构备案）后五个工作日内退还。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9.4供应商出现下列情况之一的，取消其成交资格，</w:t>
      </w:r>
      <w:r>
        <w:rPr>
          <w:rFonts w:hint="eastAsia" w:ascii="宋体" w:hAnsi="宋体" w:cs="宋体"/>
          <w:b/>
          <w:szCs w:val="21"/>
        </w:rPr>
        <w:t>并没收其谈判保证金：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9.4.1供应商在谈判有效期内撤回其谈判响应文件；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9.4.2成交供应商未能在竞争性谈判文件规定的期限提交履约担保；</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9.4.3成交供应商无正当理由拒绝签订合同或者由于供应商的原因导致成交无效的；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9.4.4供应商提供的有关资料、资格证明文件被确认是不真实的或供应商之间被证实有串通（统一哄抬价格）、欺诈行为；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9.4.5供应商被证明有妨碍其他人公平竞争、损害代理机构或者其他供应商合法权益的；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9.4.6法律法规认定的其他情形。</w:t>
      </w:r>
    </w:p>
    <w:p>
      <w:pPr>
        <w:adjustRightInd w:val="0"/>
        <w:snapToGrid w:val="0"/>
        <w:spacing w:line="360" w:lineRule="exact"/>
        <w:rPr>
          <w:rFonts w:ascii="宋体" w:hAnsi="宋体" w:cs="宋体"/>
          <w:szCs w:val="21"/>
        </w:rPr>
      </w:pPr>
      <w:r>
        <w:rPr>
          <w:rFonts w:hint="eastAsia" w:ascii="宋体" w:hAnsi="宋体" w:cs="宋体"/>
          <w:b/>
          <w:szCs w:val="21"/>
        </w:rPr>
        <w:t>10.谈判响应文件的制作</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壹份“正本”、贰份“副本”、壹份“电子光盘”（光盘中含全套正本谈判响应文件）</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10.2谈判响应文件正本、副本必须全部是打印件。供应商应按照要求签字、盖章。</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10.3谈判响应文件应无涂改和行间插字，供应商造成的必须修改的错误，修改处应加盖供应商公章，并由谈判响应文件法定代表人或代理人签字或盖章，否则修改无效。</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adjustRightInd w:val="0"/>
        <w:snapToGrid w:val="0"/>
        <w:spacing w:line="360" w:lineRule="exact"/>
        <w:rPr>
          <w:rFonts w:ascii="宋体" w:hAnsi="宋体" w:cs="宋体"/>
          <w:b/>
          <w:szCs w:val="21"/>
        </w:rPr>
      </w:pPr>
      <w:r>
        <w:rPr>
          <w:rFonts w:hint="eastAsia" w:ascii="宋体" w:hAnsi="宋体" w:cs="宋体"/>
          <w:b/>
          <w:szCs w:val="21"/>
        </w:rPr>
        <w:t>11.谈判响应文件的有效期</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谈判响应文件有效期为规定的谈判之日后</w:t>
      </w:r>
      <w:r>
        <w:rPr>
          <w:rFonts w:hint="eastAsia" w:ascii="宋体" w:hAnsi="宋体" w:cs="宋体"/>
          <w:b/>
          <w:szCs w:val="21"/>
          <w:u w:val="single"/>
        </w:rPr>
        <w:t>六十（60）天</w:t>
      </w:r>
      <w:r>
        <w:rPr>
          <w:rFonts w:hint="eastAsia" w:ascii="宋体" w:hAnsi="宋体" w:cs="宋体"/>
          <w:szCs w:val="21"/>
        </w:rPr>
        <w:t>。谈判响应文件有效期比规定短的将被视为无效响应而予以拒绝。</w:t>
      </w:r>
    </w:p>
    <w:p>
      <w:pPr>
        <w:adjustRightInd w:val="0"/>
        <w:snapToGrid w:val="0"/>
        <w:spacing w:line="360" w:lineRule="exact"/>
        <w:rPr>
          <w:rFonts w:ascii="宋体" w:hAnsi="宋体" w:cs="宋体"/>
          <w:szCs w:val="21"/>
        </w:rPr>
      </w:pPr>
      <w:r>
        <w:rPr>
          <w:rFonts w:hint="eastAsia" w:ascii="宋体" w:hAnsi="宋体" w:cs="宋体"/>
          <w:b/>
          <w:szCs w:val="21"/>
        </w:rPr>
        <w:t>12.谈判响应文件的密封</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正本和副本应当密封，电子光盘应当单独密封，</w:t>
      </w:r>
      <w:r>
        <w:rPr>
          <w:rFonts w:hint="eastAsia" w:ascii="宋体" w:hAnsi="宋体" w:cs="宋体"/>
          <w:szCs w:val="21"/>
        </w:rPr>
        <w:t>所有封袋上都应当加盖供应商公章。</w:t>
      </w:r>
    </w:p>
    <w:p>
      <w:pPr>
        <w:adjustRightInd w:val="0"/>
        <w:snapToGrid w:val="0"/>
        <w:spacing w:line="360" w:lineRule="exact"/>
        <w:rPr>
          <w:rFonts w:ascii="宋体" w:hAnsi="宋体" w:cs="宋体"/>
          <w:b/>
          <w:szCs w:val="21"/>
        </w:rPr>
      </w:pPr>
      <w:r>
        <w:rPr>
          <w:rFonts w:hint="eastAsia" w:ascii="宋体" w:hAnsi="宋体" w:cs="宋体"/>
          <w:b/>
          <w:szCs w:val="21"/>
        </w:rPr>
        <w:t>13.谈判响应文件提交截止时间及地点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adjustRightInd w:val="0"/>
        <w:snapToGrid w:val="0"/>
        <w:spacing w:line="360" w:lineRule="exact"/>
        <w:ind w:firstLine="430" w:firstLineChars="200"/>
        <w:rPr>
          <w:rFonts w:ascii="宋体" w:hAnsi="宋体" w:cs="宋体"/>
          <w:b/>
          <w:spacing w:val="2"/>
          <w:szCs w:val="21"/>
        </w:rPr>
      </w:pPr>
      <w:r>
        <w:rPr>
          <w:rFonts w:hint="eastAsia" w:ascii="宋体" w:hAnsi="宋体" w:cs="宋体"/>
          <w:b/>
          <w:spacing w:val="2"/>
          <w:szCs w:val="21"/>
        </w:rPr>
        <w:t>供应商在提交谈判响应文件时须提供有效的法定代表人或代理人身份证原件，未提供的，代理机构不接收其谈判响应文件。</w:t>
      </w:r>
    </w:p>
    <w:p>
      <w:pPr>
        <w:adjustRightInd w:val="0"/>
        <w:snapToGrid w:val="0"/>
        <w:spacing w:line="360" w:lineRule="exact"/>
        <w:rPr>
          <w:rFonts w:ascii="宋体" w:hAnsi="宋体" w:cs="宋体"/>
          <w:szCs w:val="21"/>
        </w:rPr>
      </w:pPr>
      <w:r>
        <w:rPr>
          <w:rFonts w:hint="eastAsia" w:ascii="宋体" w:hAnsi="宋体" w:cs="宋体"/>
          <w:b/>
          <w:szCs w:val="21"/>
        </w:rPr>
        <w:t>14.谈判响应文件的修改和撤回</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供应商在提交谈判响应文件后，可以修改或撤回其谈判响应文件，但这种修改和撤回，必须在规定的谈判响应文件提交截止时间前，以书面形式通知代理机构。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在谈判响应文件提交截止时间之后，供应商不得对其谈判响应文件作任何修改。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在谈判响应文件提交截止时间至竞争性谈判文件中规定的投标有效期满之间的这段时间内，供应商不得撤回其谈判响应，否则其谈判保证金将不予退还。</w:t>
      </w:r>
    </w:p>
    <w:p>
      <w:pPr>
        <w:adjustRightInd w:val="0"/>
        <w:snapToGrid w:val="0"/>
        <w:spacing w:line="360" w:lineRule="exact"/>
        <w:rPr>
          <w:rFonts w:ascii="宋体" w:hAnsi="宋体" w:cs="宋体"/>
          <w:b/>
          <w:szCs w:val="21"/>
        </w:rPr>
      </w:pPr>
      <w:r>
        <w:rPr>
          <w:rFonts w:hint="eastAsia" w:ascii="宋体" w:hAnsi="宋体" w:cs="宋体"/>
          <w:b/>
          <w:szCs w:val="21"/>
        </w:rPr>
        <w:t>15.谈判仪式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15.1代理机构按谈判公告中规定的时间、地点组织谈判开始仪式。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15.2供应商参加谈判仪式的应由法定代表人或委托代理人携带</w:t>
      </w:r>
      <w:r>
        <w:rPr>
          <w:rFonts w:hint="eastAsia" w:ascii="宋体" w:hAnsi="宋体" w:cs="宋体"/>
          <w:b/>
          <w:szCs w:val="21"/>
        </w:rPr>
        <w:t>本人有效的身份证原件</w:t>
      </w:r>
      <w:r>
        <w:rPr>
          <w:rFonts w:hint="eastAsia" w:ascii="宋体" w:hAnsi="宋体" w:cs="宋体"/>
          <w:szCs w:val="21"/>
        </w:rPr>
        <w:t>准时参加，并签名报到以证明其出席。</w:t>
      </w:r>
    </w:p>
    <w:p>
      <w:pPr>
        <w:adjustRightInd w:val="0"/>
        <w:snapToGrid w:val="0"/>
        <w:spacing w:line="360" w:lineRule="exact"/>
        <w:rPr>
          <w:rFonts w:ascii="宋体" w:hAnsi="宋体" w:cs="宋体"/>
          <w:b/>
          <w:szCs w:val="21"/>
        </w:rPr>
      </w:pPr>
      <w:r>
        <w:rPr>
          <w:rFonts w:hint="eastAsia" w:ascii="宋体" w:hAnsi="宋体" w:cs="宋体"/>
          <w:b/>
          <w:szCs w:val="21"/>
        </w:rPr>
        <w:t>16.谈判小组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16.2.1 审查、评价谈判响应文件是否符合竞争性谈判文件的商务、技术等实质性要求；</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16.2.2 要求供应商对谈判响应文件有关事项作出澄清或者说明；</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16.2.3 对谈判响应文件进行比较和评价；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16.2.4 推荐或确定成交候选人；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16.2.5 向采购人、采购代理机构或者有关部门报告评审中发现的违法行为。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16.3.4负责评审报告的起草；</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16.3.5配合相关部门的投诉处理工作；</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16.3.6配合代理机构答复供应商对成交结果提出的质疑。</w:t>
      </w:r>
    </w:p>
    <w:p>
      <w:pPr>
        <w:adjustRightInd w:val="0"/>
        <w:snapToGrid w:val="0"/>
        <w:spacing w:line="360" w:lineRule="exact"/>
        <w:rPr>
          <w:rFonts w:ascii="宋体" w:hAnsi="宋体" w:cs="宋体"/>
          <w:b/>
          <w:szCs w:val="21"/>
        </w:rPr>
      </w:pPr>
      <w:r>
        <w:rPr>
          <w:rFonts w:hint="eastAsia" w:ascii="宋体" w:hAnsi="宋体" w:cs="宋体"/>
          <w:b/>
          <w:szCs w:val="21"/>
        </w:rPr>
        <w:t>17.评审内容的保密</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17.1谈判开始后，直到宣布授予成交供应商合同为止，凡属于审查、澄清、评价和比较谈判响应文件的所有资料，有关授予合同的信息都不应向供应商或与评审无关的其他人泄露。</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17.2在评审过程中，供应商不得以任何行为影响评审过程，否则其谈判响应文件将被作为无效谈判响应文件。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17.3在评审期间，代理机构将设专门人员与供应商联系。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17.4代理机构和谈判小组不向未成交的供应商解释未成交原因，也不公布评审过程中的相关细节。</w:t>
      </w:r>
    </w:p>
    <w:p>
      <w:pPr>
        <w:adjustRightInd w:val="0"/>
        <w:snapToGrid w:val="0"/>
        <w:spacing w:line="360" w:lineRule="exact"/>
        <w:rPr>
          <w:rFonts w:ascii="宋体" w:hAnsi="宋体" w:cs="宋体"/>
          <w:b/>
          <w:szCs w:val="21"/>
        </w:rPr>
      </w:pPr>
      <w:r>
        <w:rPr>
          <w:rFonts w:hint="eastAsia" w:ascii="宋体" w:hAnsi="宋体" w:cs="宋体"/>
          <w:b/>
          <w:szCs w:val="21"/>
        </w:rPr>
        <w:t>18.对谈判响应文件的审查</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谈判响应文件初审分为资格审查和符合性审查。</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18.1资格审查：依据法律法规和竞争性谈判文件的规定，对谈判响应文件中的资格证明文件进行审查。</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18.2 符合性审查：依据竞争性谈判文件的规定，由谈判小组从谈判响应文件的有效性、完整性和对竞争性谈判文件的响应程度进行审查，以确定是否对竞争性谈判文件的实质性要求作出响应。</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供应商不得通过修改或撤销不合要求的偏离或保留而使其谈判响应文件成为实质性响应。</w:t>
      </w:r>
    </w:p>
    <w:p>
      <w:pPr>
        <w:pStyle w:val="6"/>
        <w:overflowPunct w:val="0"/>
        <w:snapToGrid w:val="0"/>
        <w:spacing w:line="360" w:lineRule="exact"/>
        <w:ind w:firstLine="422" w:firstLineChars="200"/>
        <w:rPr>
          <w:rFonts w:hAnsi="宋体" w:cs="宋体"/>
          <w:sz w:val="21"/>
          <w:szCs w:val="21"/>
        </w:rPr>
      </w:pPr>
      <w:r>
        <w:rPr>
          <w:rFonts w:hint="eastAsia" w:hAnsi="宋体" w:cs="宋体"/>
          <w:b/>
          <w:sz w:val="21"/>
          <w:szCs w:val="21"/>
        </w:rPr>
        <w:t>18.3谈判响应文件出现下列情况之一的，将作为无效谈判响应文件处理</w:t>
      </w:r>
      <w:r>
        <w:rPr>
          <w:rFonts w:hint="eastAsia" w:hAnsi="宋体" w:cs="宋体"/>
          <w:sz w:val="21"/>
          <w:szCs w:val="21"/>
        </w:rPr>
        <w:t xml:space="preserve">： </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18.3.1供应商未通过领购申请的或者在名称上和法人地位上与领购情况发生实质性改变的；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18.3.2未按竞争性谈判文件要求缴纳谈判保证金的；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18.3.3谈判响应文件提交时未按规定密封、盖章的，电子光盘未提供或未单独密封的；</w:t>
      </w:r>
    </w:p>
    <w:p>
      <w:pPr>
        <w:adjustRightInd w:val="0"/>
        <w:snapToGrid w:val="0"/>
        <w:spacing w:line="360" w:lineRule="exact"/>
        <w:ind w:firstLine="439" w:firstLineChars="208"/>
        <w:rPr>
          <w:rFonts w:ascii="宋体" w:hAnsi="宋体" w:cs="宋体"/>
          <w:b/>
          <w:szCs w:val="21"/>
        </w:rPr>
      </w:pPr>
      <w:r>
        <w:rPr>
          <w:rFonts w:hint="eastAsia" w:ascii="宋体" w:hAnsi="宋体" w:cs="宋体"/>
          <w:b/>
          <w:szCs w:val="21"/>
        </w:rPr>
        <w:t>18.3.4供应商被列入失信被执行人、重大税收违法案件当事人名单、政府采购严重失信行为记录名单的。（查询渠道：中国政府采购网（http://www.ccgp.gov.cn/）、信用中国（www.creditchina.gov.cn）网站的相关主体信用记录）。</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18.3.5谈判响应文件未按规定签字或盖章的；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18.3.6未按要求提供带“*”项材料或者与带“*”项内容存在负偏离的；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18.3.7谈判响应文件未按竞争性谈判文件规定的格式、内容和要求编制，谈判响应文件字迹潦草、模糊、难以辨认；</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18.3.8谈判响应文件材料所述情况和所附相关资料不实的；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18.3.9供应商以他人的名义参加谈判、相互串通、以行贿手段谋取成交或者以其他弄虚作假方式参与谈判的。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18.3.10供应商在一份谈判响应文件中，对同一招标项目报有两个或多个报价，且未书面确定以哪个报价为准的；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18.3.11供应商的谈判报价超出采购预算或者最高限价的；</w:t>
      </w:r>
    </w:p>
    <w:p>
      <w:pPr>
        <w:adjustRightInd w:val="0"/>
        <w:snapToGrid w:val="0"/>
        <w:spacing w:line="360" w:lineRule="exact"/>
        <w:ind w:firstLine="439" w:firstLineChars="208"/>
        <w:rPr>
          <w:rFonts w:ascii="宋体" w:hAnsi="宋体" w:cs="宋体"/>
          <w:b/>
          <w:szCs w:val="21"/>
        </w:rPr>
      </w:pPr>
      <w:r>
        <w:rPr>
          <w:rFonts w:hint="eastAsia" w:ascii="宋体" w:hAnsi="宋体" w:cs="宋体"/>
          <w:b/>
          <w:szCs w:val="21"/>
        </w:rPr>
        <w:t>18.3.12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18.3.13谈判响应文件含有采购人不能接受的附加条件的；</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18.3.14竞争性谈判文件明确规定无效的其他情形，或者其他被谈判小组认定无效的情况；</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18.3.15不符合法律、法规和竞争性谈判文件规定的其他实质性要求的。</w:t>
      </w:r>
    </w:p>
    <w:p>
      <w:pPr>
        <w:adjustRightInd w:val="0"/>
        <w:snapToGrid w:val="0"/>
        <w:spacing w:line="360" w:lineRule="exact"/>
        <w:ind w:firstLine="439" w:firstLineChars="208"/>
        <w:rPr>
          <w:rFonts w:ascii="宋体" w:hAnsi="宋体" w:cs="宋体"/>
          <w:b/>
          <w:szCs w:val="21"/>
        </w:rPr>
      </w:pPr>
      <w:r>
        <w:rPr>
          <w:rFonts w:hint="eastAsia" w:ascii="宋体" w:hAnsi="宋体" w:cs="宋体"/>
          <w:b/>
          <w:szCs w:val="21"/>
        </w:rPr>
        <w:t>18.4有下列情形之一的，视为供应商串通，无效响应：</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18.4.1不同供应商的谈判响应文件由同一单位或者个人编制；</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18.4.2不同供应商委托同一单位或者个人办理投标事宜；</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18.4.3 不同供应商的谈判响应文件载明的项目管理成员或者联系人员为同一人；</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18.4.4不同供应商的谈判响应文件异常一致或者谈判报价呈规律性差异；</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18.4.5不同供应商的谈判响应文件相互混装；</w:t>
      </w:r>
    </w:p>
    <w:p>
      <w:pPr>
        <w:adjustRightInd w:val="0"/>
        <w:snapToGrid w:val="0"/>
        <w:spacing w:line="360" w:lineRule="exact"/>
        <w:ind w:firstLine="436" w:firstLineChars="208"/>
        <w:rPr>
          <w:rFonts w:ascii="宋体" w:hAnsi="宋体" w:cs="宋体"/>
          <w:szCs w:val="21"/>
        </w:rPr>
      </w:pPr>
      <w:r>
        <w:rPr>
          <w:rFonts w:hint="eastAsia" w:ascii="宋体" w:hAnsi="宋体" w:cs="宋体"/>
          <w:szCs w:val="21"/>
        </w:rPr>
        <w:t>18.4.6不同供应商的谈判保证金从同一单位或者个人的账户转出。</w:t>
      </w:r>
    </w:p>
    <w:p>
      <w:pPr>
        <w:adjustRightInd w:val="0"/>
        <w:snapToGrid w:val="0"/>
        <w:spacing w:line="360" w:lineRule="exact"/>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.谈判响应文件的澄清</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19.4谈判响应文件报价出现前后不一致的，除竞争性谈判文件另有规定外，按照下列规定修正：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19.4.1谈判响应文件中报价一览表内容与谈判响应文件中相应内容不一致的，以报价一览表为准；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19.4.2 谈判响应文件的大写金额与小写金额不一致的，以大写金额为准；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同时出现两种以上不一致的，按照前款规定的顺序修正。修正后的报价按照本竞争性谈判文件规定经供应商确认后产生约束力，供应商不确认的，视为无效响应，其谈判保证金不予退还。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19.5供应商拒不按照谈判小组要求作出澄清、说明或者补正的，作为无效响应处理。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19.6谈判小组对谈判响应文件的判定，只依据谈判响应文件内容本身，不依靠谈判开始后的任何外来证明。谈判响应文件提交截止时间后，供应商对谈判报价或其他实质性内容修正的函件和增加的任何优惠条件，一律不得作为评审、确定成交供应商的依据。</w:t>
      </w:r>
    </w:p>
    <w:p>
      <w:pPr>
        <w:adjustRightInd w:val="0"/>
        <w:snapToGrid w:val="0"/>
        <w:spacing w:line="360" w:lineRule="exact"/>
        <w:rPr>
          <w:rFonts w:ascii="宋体" w:hAnsi="宋体" w:cs="宋体"/>
          <w:b/>
          <w:kern w:val="0"/>
          <w:szCs w:val="21"/>
        </w:rPr>
      </w:pPr>
      <w:r>
        <w:rPr>
          <w:rFonts w:hint="eastAsia" w:ascii="宋体" w:hAnsi="宋体" w:cs="宋体"/>
          <w:b/>
          <w:kern w:val="0"/>
          <w:szCs w:val="21"/>
        </w:rPr>
        <w:t>20.</w:t>
      </w:r>
      <w:r>
        <w:rPr>
          <w:rFonts w:hint="eastAsia" w:ascii="宋体" w:hAnsi="宋体" w:cs="宋体"/>
          <w:b/>
          <w:szCs w:val="21"/>
        </w:rPr>
        <w:t>废标条款</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20.1因情况变化，不再符合规定的竞争性谈判采购方式适用情形的；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20.2 出现影响采购公正的违法、违规行为的；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20.3供应商的最终报价均超过了采购预算，采购人不能支付的；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20.4 因重大变故，采购任务取消的。</w:t>
      </w:r>
    </w:p>
    <w:p>
      <w:pPr>
        <w:adjustRightInd w:val="0"/>
        <w:snapToGrid w:val="0"/>
        <w:spacing w:line="360" w:lineRule="exact"/>
        <w:rPr>
          <w:rFonts w:ascii="宋体" w:hAnsi="宋体" w:cs="宋体"/>
          <w:szCs w:val="21"/>
        </w:rPr>
      </w:pPr>
      <w:r>
        <w:rPr>
          <w:rFonts w:hint="eastAsia" w:ascii="宋体" w:hAnsi="宋体" w:cs="宋体"/>
          <w:b/>
          <w:szCs w:val="21"/>
        </w:rPr>
        <w:t>21.评审、确定成交供应商</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21.1本项目采用最低评标价法。谈判小组将从质量和服务均能满足采购文件实质性响应要求的供应商中，按照最后报价由低到高顺序推荐成交候选人。</w:t>
      </w:r>
    </w:p>
    <w:p>
      <w:pPr>
        <w:adjustRightInd w:val="0"/>
        <w:snapToGrid w:val="0"/>
        <w:spacing w:line="360" w:lineRule="exact"/>
        <w:ind w:firstLine="420"/>
        <w:rPr>
          <w:rFonts w:ascii="宋体" w:hAnsi="宋体" w:cs="宋体"/>
          <w:b/>
          <w:bCs/>
          <w:szCs w:val="21"/>
        </w:rPr>
      </w:pPr>
      <w:r>
        <w:rPr>
          <w:rFonts w:hint="eastAsia" w:ascii="宋体" w:hAnsi="宋体" w:cs="宋体"/>
          <w:b/>
          <w:bCs/>
          <w:kern w:val="0"/>
          <w:szCs w:val="21"/>
        </w:rPr>
        <w:t>21.2</w:t>
      </w:r>
      <w:r>
        <w:rPr>
          <w:rFonts w:hint="eastAsia" w:ascii="宋体" w:hAnsi="宋体" w:cs="宋体"/>
          <w:b/>
          <w:bCs/>
          <w:szCs w:val="21"/>
          <w:u w:val="single"/>
        </w:rPr>
        <w:t>采购人授权谈判小组直接确定成交供应商。</w:t>
      </w:r>
    </w:p>
    <w:p>
      <w:pPr>
        <w:pStyle w:val="6"/>
        <w:overflowPunct w:val="0"/>
        <w:snapToGrid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22.1 代理机构将成交结果在</w:t>
      </w:r>
      <w:r>
        <w:rPr>
          <w:rFonts w:hint="eastAsia" w:hAnsi="宋体" w:cs="宋体"/>
          <w:b/>
          <w:sz w:val="21"/>
          <w:szCs w:val="21"/>
        </w:rPr>
        <w:t>中国招投标网、常州市城投建设工程招标有限公司</w:t>
      </w:r>
      <w:r>
        <w:rPr>
          <w:rFonts w:hint="eastAsia" w:hAnsi="宋体" w:cs="宋体"/>
          <w:sz w:val="21"/>
          <w:szCs w:val="21"/>
        </w:rPr>
        <w:t>网站上予以公告。公告期限为1个工作日。</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22.2若有充分证据证明，成交供应商出现下列情况之一的，一经查实，将被取消成交资格：</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22.2.1提供虚假材料谋取成交的；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22.2.2向采购人、代理机构行贿或者提供其他不正当利益的。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22.2.3恶意竞争，最终总报价明显低于其自身合理成本且又无法提供证明的。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22.2.4不满足本采购文件规定的实质性要求，但在评审过程中又未被谈判小组发现的。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22.2.5与采购人或者其他供应商恶意串通的。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22.2.6采取不正当手段诋毁、排挤其他供应商的。</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22.2.7法律、法规、规章规定的属于成交无效的其他情形。</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22.3 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部门对该供应商进行相应的处罚。</w:t>
      </w:r>
    </w:p>
    <w:p>
      <w:pPr>
        <w:pStyle w:val="6"/>
        <w:overflowPunct w:val="0"/>
        <w:snapToGrid w:val="0"/>
        <w:spacing w:line="360" w:lineRule="exact"/>
        <w:ind w:firstLineChars="200"/>
        <w:rPr>
          <w:rFonts w:hAnsi="宋体" w:cs="宋体"/>
          <w:sz w:val="21"/>
          <w:szCs w:val="21"/>
        </w:rPr>
      </w:pPr>
      <w:r>
        <w:rPr>
          <w:rFonts w:hint="eastAsia" w:hAnsi="宋体" w:cs="宋体"/>
          <w:sz w:val="21"/>
          <w:szCs w:val="21"/>
        </w:rPr>
        <w:t>未参加谈判活动的供应商或在谈判活动中自身权益未受到损害的供应商所提出的质疑不予受理。如有参加谈判的供应商提出有效质疑，并因此可能对成交结果产生影响，而最终被取消成交的，代理机构对成交供应商不承担任何责任。</w:t>
      </w:r>
    </w:p>
    <w:p>
      <w:pPr>
        <w:pStyle w:val="6"/>
        <w:overflowPunct w:val="0"/>
        <w:snapToGrid w:val="0"/>
        <w:spacing w:line="360" w:lineRule="exact"/>
        <w:ind w:firstLine="0"/>
        <w:rPr>
          <w:rFonts w:hAnsi="宋体" w:cs="宋体"/>
          <w:b/>
          <w:sz w:val="21"/>
          <w:szCs w:val="21"/>
        </w:rPr>
      </w:pPr>
      <w:r>
        <w:rPr>
          <w:rFonts w:hint="eastAsia" w:hAnsi="宋体" w:cs="宋体"/>
          <w:b/>
          <w:sz w:val="21"/>
          <w:szCs w:val="21"/>
        </w:rPr>
        <w:t>23.成交通知书</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23.1 成交结果确定后，代理机构将向成交供应商发出成交通知书。</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23.2 成交通知书对采购人和成交供应商具有法律约束力。成交通知书发出后，采购人改变成交结果或者成交供应商放弃成交，均应当承担相应的法律责任，且不影响服务费的支付。</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23.3 代理机构及采购人对未成交供应商不承担解释未成交原因的义务。</w:t>
      </w:r>
    </w:p>
    <w:p>
      <w:pPr>
        <w:adjustRightInd w:val="0"/>
        <w:snapToGrid w:val="0"/>
        <w:spacing w:line="360" w:lineRule="exact"/>
        <w:rPr>
          <w:rFonts w:ascii="宋体" w:hAnsi="宋体" w:cs="宋体"/>
          <w:b/>
          <w:szCs w:val="21"/>
        </w:rPr>
      </w:pPr>
      <w:r>
        <w:rPr>
          <w:rFonts w:hint="eastAsia" w:ascii="宋体" w:hAnsi="宋体" w:cs="宋体"/>
          <w:b/>
          <w:szCs w:val="21"/>
        </w:rPr>
        <w:t>24.履约保证金</w:t>
      </w:r>
    </w:p>
    <w:p>
      <w:pPr>
        <w:pStyle w:val="6"/>
        <w:overflowPunct w:val="0"/>
        <w:snapToGrid w:val="0"/>
        <w:spacing w:line="360" w:lineRule="exact"/>
        <w:ind w:firstLine="436" w:firstLineChars="208"/>
        <w:rPr>
          <w:rFonts w:hAnsi="宋体" w:cs="宋体"/>
          <w:sz w:val="21"/>
          <w:szCs w:val="21"/>
        </w:rPr>
      </w:pPr>
      <w:r>
        <w:rPr>
          <w:rFonts w:hint="eastAsia" w:hAnsi="宋体" w:cs="宋体"/>
          <w:sz w:val="21"/>
          <w:szCs w:val="21"/>
        </w:rPr>
        <w:t>24.1 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int="eastAsia" w:hAnsi="宋体" w:cs="宋体"/>
          <w:b/>
          <w:bCs/>
          <w:sz w:val="21"/>
          <w:szCs w:val="21"/>
          <w:u w:val="single"/>
        </w:rPr>
        <w:t>5%</w:t>
      </w:r>
      <w:r>
        <w:rPr>
          <w:rFonts w:hint="eastAsia" w:hAnsi="宋体" w:cs="宋体"/>
          <w:sz w:val="21"/>
          <w:szCs w:val="21"/>
        </w:rPr>
        <w:t>的履约保证金。</w:t>
      </w:r>
    </w:p>
    <w:p>
      <w:pPr>
        <w:pStyle w:val="6"/>
        <w:overflowPunct w:val="0"/>
        <w:snapToGrid w:val="0"/>
        <w:spacing w:line="360" w:lineRule="exact"/>
        <w:ind w:firstLine="439" w:firstLineChars="208"/>
        <w:rPr>
          <w:rFonts w:hAnsi="宋体" w:cs="宋体"/>
          <w:b/>
          <w:sz w:val="21"/>
          <w:szCs w:val="21"/>
        </w:rPr>
      </w:pPr>
      <w:r>
        <w:rPr>
          <w:rFonts w:hint="eastAsia" w:hAnsi="宋体" w:cs="宋体"/>
          <w:b/>
          <w:sz w:val="21"/>
          <w:szCs w:val="21"/>
        </w:rPr>
        <w:t>24.2 履约保证金将在项目结束后（无息）退返成交供应商。</w:t>
      </w:r>
    </w:p>
    <w:p>
      <w:pPr>
        <w:adjustRightInd w:val="0"/>
        <w:snapToGrid w:val="0"/>
        <w:spacing w:line="360" w:lineRule="exact"/>
        <w:rPr>
          <w:rFonts w:ascii="宋体" w:hAnsi="宋体" w:cs="宋体"/>
          <w:szCs w:val="21"/>
        </w:rPr>
      </w:pPr>
      <w:r>
        <w:rPr>
          <w:rFonts w:hint="eastAsia" w:ascii="宋体" w:hAnsi="宋体" w:cs="宋体"/>
          <w:b/>
          <w:szCs w:val="21"/>
        </w:rPr>
        <w:t>25.代理机构服务费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25.1 代理服务收费标准</w:t>
      </w:r>
    </w:p>
    <w:tbl>
      <w:tblPr>
        <w:tblStyle w:val="21"/>
        <w:tblW w:w="4925"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2582" w:type="dxa"/>
          </w:tcPr>
          <w:p>
            <w:pPr>
              <w:spacing w:line="360" w:lineRule="exact"/>
              <w:ind w:firstLine="945" w:firstLineChars="450"/>
              <w:rPr>
                <w:rFonts w:ascii="宋体" w:hAnsi="宋体" w:cs="宋体"/>
                <w:bCs/>
                <w:szCs w:val="21"/>
              </w:rPr>
            </w:pPr>
            <w:r>
              <w:rPr>
                <w:rFonts w:ascii="宋体" w:hAnsi="宋体" w:cs="宋体"/>
                <w:bCs/>
                <w:szCs w:val="21"/>
              </w:rPr>
              <w:pict>
                <v:line id="Line 47" o:spid="_x0000_s1043" o:spt="20" style="position:absolute;left:0pt;flip:x y;margin-left:27pt;margin-top:-0.4pt;height:110.3pt;width:97.25pt;z-index:2517299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44" o:spt="20" style="position:absolute;left:0pt;margin-left:-8.9pt;margin-top:-0.4pt;height:0pt;width:0.05pt;z-index:2517278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360" w:lineRule="exact"/>
              <w:ind w:firstLine="210" w:firstLineChars="100"/>
              <w:rPr>
                <w:rFonts w:ascii="宋体" w:hAnsi="宋体" w:cs="宋体"/>
                <w:bCs/>
                <w:szCs w:val="21"/>
              </w:rPr>
            </w:pPr>
            <w:r>
              <w:rPr>
                <w:rFonts w:hint="eastAsia" w:ascii="宋体" w:hAnsi="宋体" w:cs="宋体"/>
                <w:bCs/>
                <w:szCs w:val="21"/>
              </w:rPr>
              <w:t>费　　  　务</w:t>
            </w:r>
          </w:p>
          <w:p>
            <w:pPr>
              <w:spacing w:line="360" w:lineRule="exact"/>
              <w:ind w:firstLine="1260" w:firstLineChars="600"/>
              <w:rPr>
                <w:rFonts w:ascii="宋体" w:hAnsi="宋体" w:cs="宋体"/>
                <w:bCs/>
                <w:szCs w:val="21"/>
              </w:rPr>
            </w:pPr>
            <w:r>
              <w:rPr>
                <w:rFonts w:ascii="宋体" w:hAnsi="宋体" w:cs="宋体"/>
                <w:bCs/>
                <w:szCs w:val="21"/>
              </w:rPr>
              <w:pict>
                <v:line id="Line 46" o:spid="_x0000_s1045" o:spt="20" style="position:absolute;left:0pt;flip:x y;margin-left:-6.55pt;margin-top:7.15pt;height:66.3pt;width:131.75pt;z-index:2517288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360" w:lineRule="exact"/>
              <w:ind w:firstLine="1050" w:firstLineChars="500"/>
              <w:rPr>
                <w:rFonts w:ascii="宋体" w:hAnsi="宋体" w:cs="宋体"/>
                <w:bCs/>
                <w:szCs w:val="21"/>
              </w:rPr>
            </w:pPr>
            <w:r>
              <w:rPr>
                <w:rFonts w:hint="eastAsia" w:ascii="宋体" w:hAnsi="宋体" w:cs="宋体"/>
                <w:bCs/>
                <w:szCs w:val="21"/>
              </w:rPr>
              <w:t>率　     型</w:t>
            </w:r>
          </w:p>
          <w:p>
            <w:pPr>
              <w:spacing w:line="360" w:lineRule="exact"/>
              <w:ind w:firstLine="1050" w:firstLineChars="500"/>
              <w:rPr>
                <w:rFonts w:ascii="宋体" w:hAnsi="宋体" w:cs="宋体"/>
                <w:bCs/>
                <w:szCs w:val="21"/>
              </w:rPr>
            </w:pPr>
            <w:r>
              <w:rPr>
                <w:rFonts w:hint="eastAsia" w:ascii="宋体" w:hAnsi="宋体" w:cs="宋体"/>
                <w:bCs/>
                <w:szCs w:val="21"/>
              </w:rPr>
              <w:t>　　　　</w:t>
            </w:r>
          </w:p>
          <w:p>
            <w:pPr>
              <w:spacing w:line="360" w:lineRule="exact"/>
              <w:rPr>
                <w:rFonts w:ascii="宋体" w:hAnsi="宋体" w:cs="宋体"/>
                <w:bCs/>
                <w:szCs w:val="21"/>
              </w:rPr>
            </w:pPr>
            <w:r>
              <w:rPr>
                <w:rFonts w:hint="eastAsia" w:ascii="宋体" w:hAnsi="宋体" w:cs="宋体"/>
                <w:bCs/>
                <w:szCs w:val="21"/>
              </w:rPr>
              <w:t>成交金额（万元）</w:t>
            </w:r>
          </w:p>
        </w:tc>
        <w:tc>
          <w:tcPr>
            <w:tcW w:w="2343" w:type="dxa"/>
            <w:vAlign w:val="center"/>
          </w:tcPr>
          <w:p>
            <w:pPr>
              <w:spacing w:line="360" w:lineRule="exact"/>
              <w:jc w:val="center"/>
              <w:rPr>
                <w:rFonts w:ascii="宋体" w:hAnsi="宋体" w:cs="宋体"/>
                <w:bCs/>
                <w:szCs w:val="21"/>
              </w:rPr>
            </w:pPr>
            <w:r>
              <w:rPr>
                <w:rFonts w:hint="eastAsia" w:ascii="宋体" w:hAnsi="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adjustRightInd w:val="0"/>
              <w:snapToGrid w:val="0"/>
              <w:spacing w:line="400" w:lineRule="exact"/>
              <w:jc w:val="center"/>
              <w:rPr>
                <w:rFonts w:ascii="宋体" w:hAnsi="宋体" w:cs="宋体"/>
                <w:szCs w:val="21"/>
              </w:rPr>
            </w:pPr>
            <w:r>
              <w:rPr>
                <w:rFonts w:hint="eastAsia" w:ascii="宋体" w:hAnsi="宋体" w:cs="宋体"/>
                <w:szCs w:val="21"/>
              </w:rPr>
              <w:t>100（含，下同）以下</w:t>
            </w:r>
          </w:p>
        </w:tc>
        <w:tc>
          <w:tcPr>
            <w:tcW w:w="2343" w:type="dxa"/>
          </w:tcPr>
          <w:p>
            <w:pPr>
              <w:adjustRightInd w:val="0"/>
              <w:snapToGrid w:val="0"/>
              <w:spacing w:line="400" w:lineRule="exact"/>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adjustRightInd w:val="0"/>
              <w:snapToGrid w:val="0"/>
              <w:spacing w:line="400" w:lineRule="exact"/>
              <w:jc w:val="center"/>
              <w:rPr>
                <w:rFonts w:ascii="宋体" w:hAnsi="宋体" w:cs="宋体"/>
                <w:szCs w:val="21"/>
              </w:rPr>
            </w:pPr>
            <w:r>
              <w:rPr>
                <w:rFonts w:hint="eastAsia" w:ascii="宋体" w:hAnsi="宋体" w:cs="宋体"/>
                <w:szCs w:val="21"/>
              </w:rPr>
              <w:t>100-500</w:t>
            </w:r>
          </w:p>
        </w:tc>
        <w:tc>
          <w:tcPr>
            <w:tcW w:w="2343" w:type="dxa"/>
          </w:tcPr>
          <w:p>
            <w:pPr>
              <w:adjustRightInd w:val="0"/>
              <w:snapToGrid w:val="0"/>
              <w:spacing w:line="400" w:lineRule="exact"/>
              <w:jc w:val="center"/>
              <w:rPr>
                <w:rFonts w:ascii="宋体" w:hAnsi="宋体" w:cs="宋体"/>
                <w:szCs w:val="21"/>
              </w:rPr>
            </w:pPr>
            <w:r>
              <w:rPr>
                <w:rFonts w:hint="eastAsia" w:ascii="宋体" w:hAnsi="宋体"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500—1000</w:t>
            </w:r>
          </w:p>
        </w:tc>
        <w:tc>
          <w:tcPr>
            <w:tcW w:w="23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tcPr>
          <w:p>
            <w:pPr>
              <w:adjustRightInd w:val="0"/>
              <w:snapToGrid w:val="0"/>
              <w:spacing w:line="400" w:lineRule="exact"/>
              <w:jc w:val="center"/>
              <w:rPr>
                <w:rFonts w:ascii="宋体" w:hAnsi="宋体" w:cs="宋体"/>
                <w:szCs w:val="21"/>
              </w:rPr>
            </w:pPr>
            <w:r>
              <w:rPr>
                <w:rFonts w:hint="eastAsia" w:ascii="宋体" w:hAnsi="宋体" w:cs="宋体"/>
                <w:szCs w:val="21"/>
              </w:rPr>
              <w:t>……</w:t>
            </w:r>
          </w:p>
        </w:tc>
        <w:tc>
          <w:tcPr>
            <w:tcW w:w="2343" w:type="dxa"/>
          </w:tcPr>
          <w:p>
            <w:pPr>
              <w:adjustRightInd w:val="0"/>
              <w:snapToGrid w:val="0"/>
              <w:spacing w:line="400" w:lineRule="exact"/>
              <w:jc w:val="center"/>
              <w:rPr>
                <w:rFonts w:ascii="宋体" w:hAnsi="宋体" w:cs="宋体"/>
                <w:szCs w:val="21"/>
              </w:rPr>
            </w:pPr>
            <w:r>
              <w:rPr>
                <w:rFonts w:hint="eastAsia" w:ascii="宋体" w:hAnsi="宋体" w:cs="宋体"/>
                <w:szCs w:val="21"/>
              </w:rPr>
              <w:t>……</w:t>
            </w:r>
          </w:p>
        </w:tc>
      </w:tr>
    </w:tbl>
    <w:p>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 xml:space="preserve">25.2 成交服务收费按差额定率累进法计算。 </w:t>
      </w:r>
    </w:p>
    <w:p>
      <w:pPr>
        <w:adjustRightInd w:val="0"/>
        <w:snapToGrid w:val="0"/>
        <w:spacing w:line="360" w:lineRule="exact"/>
        <w:ind w:firstLine="422" w:firstLineChars="200"/>
        <w:jc w:val="left"/>
        <w:rPr>
          <w:rFonts w:ascii="宋体" w:hAnsi="宋体" w:cs="宋体"/>
          <w:b/>
          <w:szCs w:val="21"/>
        </w:rPr>
      </w:pPr>
      <w:r>
        <w:rPr>
          <w:rFonts w:hint="eastAsia" w:ascii="宋体" w:hAnsi="宋体" w:cs="宋体"/>
          <w:b/>
          <w:szCs w:val="21"/>
        </w:rPr>
        <w:t>25.3 服务费按照上述标准收取并由成交供应商承担，</w:t>
      </w:r>
      <w:r>
        <w:rPr>
          <w:rFonts w:hint="eastAsia" w:ascii="宋体" w:hAnsi="宋体" w:cs="宋体"/>
          <w:b/>
          <w:bCs/>
          <w:szCs w:val="21"/>
        </w:rPr>
        <w:t>专家评审费为500元/人，按实际人数计算，由成交</w:t>
      </w:r>
      <w:r>
        <w:rPr>
          <w:rFonts w:hint="eastAsia" w:ascii="宋体" w:hAnsi="宋体" w:cs="宋体"/>
          <w:b/>
          <w:szCs w:val="21"/>
        </w:rPr>
        <w:t>供应商</w:t>
      </w:r>
      <w:r>
        <w:rPr>
          <w:rFonts w:hint="eastAsia" w:ascii="宋体" w:hAnsi="宋体" w:cs="宋体"/>
          <w:b/>
          <w:bCs/>
          <w:szCs w:val="21"/>
        </w:rPr>
        <w:t>承担。</w:t>
      </w:r>
      <w:r>
        <w:rPr>
          <w:rFonts w:hint="eastAsia" w:ascii="宋体" w:hAnsi="宋体" w:cs="宋体"/>
          <w:b/>
          <w:szCs w:val="21"/>
        </w:rPr>
        <w:t>成交供应商应在领取成交通知书时将代理机构服务费和</w:t>
      </w:r>
      <w:r>
        <w:rPr>
          <w:rFonts w:hint="eastAsia" w:ascii="宋体" w:hAnsi="宋体" w:cs="宋体"/>
          <w:b/>
          <w:bCs/>
          <w:szCs w:val="21"/>
        </w:rPr>
        <w:t>专家评审费</w:t>
      </w:r>
      <w:r>
        <w:rPr>
          <w:rFonts w:hint="eastAsia" w:ascii="宋体" w:hAnsi="宋体" w:cs="宋体"/>
          <w:b/>
          <w:szCs w:val="21"/>
        </w:rPr>
        <w:t>付至常州市城投建设工程招标有限公司账户。</w:t>
      </w:r>
      <w:r>
        <w:rPr>
          <w:rFonts w:ascii="宋体" w:hAnsi="宋体" w:cs="宋体"/>
          <w:b/>
          <w:szCs w:val="21"/>
        </w:rPr>
        <w:pict>
          <v:shape id="_x0000_s1046" o:spid="_x0000_s1046" style="position:absolute;left:0pt;margin-left:161.85pt;margin-top:17.65pt;height:0.75pt;width:0pt;mso-position-horizontal-relative:page;z-index:-25155276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r>
        <w:rPr>
          <w:rFonts w:ascii="宋体" w:hAnsi="宋体" w:cs="宋体"/>
          <w:b/>
          <w:szCs w:val="21"/>
        </w:rPr>
        <w:pict>
          <v:shape id="任意多边形 5" o:spid="_x0000_s1047" style="position:absolute;left:0pt;margin-left:161.85pt;margin-top:17.65pt;height:0.75pt;width:0pt;mso-position-horizontal-relative:page;z-index:-25158451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adjustRightInd w:val="0"/>
        <w:snapToGrid w:val="0"/>
        <w:spacing w:line="360" w:lineRule="exact"/>
        <w:ind w:firstLine="420"/>
        <w:rPr>
          <w:rFonts w:ascii="宋体" w:hAnsi="宋体" w:cs="宋体"/>
          <w:kern w:val="0"/>
          <w:szCs w:val="21"/>
        </w:rPr>
      </w:pPr>
      <w:r>
        <w:rPr>
          <w:rFonts w:hint="eastAsia" w:ascii="宋体" w:hAnsi="宋体" w:cs="宋体"/>
          <w:szCs w:val="21"/>
        </w:rPr>
        <w:t>25.4 成交服务收费按上述计算方法不足人民币3000元的，按人民币3000元收取。</w:t>
      </w:r>
    </w:p>
    <w:p>
      <w:pPr>
        <w:adjustRightInd w:val="0"/>
        <w:snapToGrid w:val="0"/>
        <w:spacing w:line="360" w:lineRule="exact"/>
        <w:rPr>
          <w:rFonts w:ascii="宋体" w:hAnsi="宋体" w:cs="宋体"/>
          <w:b/>
          <w:szCs w:val="21"/>
        </w:rPr>
      </w:pPr>
      <w:r>
        <w:rPr>
          <w:rFonts w:hint="eastAsia" w:ascii="宋体" w:hAnsi="宋体" w:cs="宋体"/>
          <w:b/>
          <w:szCs w:val="21"/>
        </w:rPr>
        <w:t>26.合同的签订</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26.2竞争性谈判文件、成交供应商的谈判响应文件及谈判过程中有关澄清、承诺文件均应作为合同附件。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26.4合同履行中，采购人需追加与合同标的相同的货物和服务的，在不改变合同其他条款的前提下，可以与成交供应商协商签订补充合同，但所有补充合同的采购金额不超过原合同金额10%。</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26.5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rPr>
          <w:rFonts w:ascii="宋体" w:hAnsi="宋体" w:cs="宋体"/>
        </w:rPr>
      </w:pPr>
      <w:bookmarkStart w:id="2" w:name="_Toc17536926"/>
      <w:r>
        <w:rPr>
          <w:rFonts w:hint="eastAsia" w:ascii="宋体" w:hAnsi="宋体" w:cs="宋体"/>
        </w:rPr>
        <w:br w:type="page"/>
      </w:r>
    </w:p>
    <w:p>
      <w:pPr>
        <w:pStyle w:val="3"/>
        <w:rPr>
          <w:rFonts w:ascii="宋体" w:hAnsi="宋体" w:cs="宋体"/>
          <w:szCs w:val="21"/>
        </w:rPr>
      </w:pPr>
      <w:r>
        <w:rPr>
          <w:rFonts w:hint="eastAsia" w:ascii="宋体" w:hAnsi="宋体" w:cs="宋体"/>
        </w:rPr>
        <w:t>第二章  采购项目及技术要求</w:t>
      </w:r>
      <w:bookmarkEnd w:id="2"/>
    </w:p>
    <w:p>
      <w:pPr>
        <w:adjustRightInd w:val="0"/>
        <w:snapToGrid w:val="0"/>
        <w:spacing w:line="360" w:lineRule="exact"/>
        <w:ind w:firstLine="422" w:firstLineChars="200"/>
        <w:rPr>
          <w:rFonts w:ascii="宋体" w:hAnsi="宋体" w:cs="宋体"/>
          <w:spacing w:val="2"/>
          <w:szCs w:val="21"/>
        </w:rPr>
      </w:pPr>
      <w:r>
        <w:rPr>
          <w:rFonts w:hint="eastAsia" w:ascii="宋体" w:hAnsi="宋体" w:cs="宋体"/>
          <w:b/>
          <w:bCs/>
          <w:szCs w:val="21"/>
        </w:rPr>
        <w:t>一、</w:t>
      </w:r>
      <w:r>
        <w:rPr>
          <w:rFonts w:hint="eastAsia" w:ascii="宋体" w:hAnsi="宋体" w:cs="宋体"/>
          <w:b/>
          <w:spacing w:val="2"/>
          <w:szCs w:val="21"/>
        </w:rPr>
        <w:t>项目预算及最高限价：</w:t>
      </w:r>
      <w:r>
        <w:rPr>
          <w:rFonts w:hint="eastAsia" w:ascii="宋体" w:hAnsi="宋体" w:cs="宋体"/>
          <w:b/>
          <w:bCs/>
          <w:szCs w:val="21"/>
        </w:rPr>
        <w:t>人民币15万元</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二、基本要求</w:t>
      </w:r>
    </w:p>
    <w:p>
      <w:pPr>
        <w:adjustRightInd w:val="0"/>
        <w:snapToGrid w:val="0"/>
        <w:spacing w:line="360" w:lineRule="exact"/>
        <w:rPr>
          <w:rFonts w:ascii="宋体" w:hAnsi="宋体" w:cs="宋体"/>
          <w:szCs w:val="21"/>
        </w:rPr>
      </w:pPr>
      <w:r>
        <w:rPr>
          <w:rFonts w:hint="eastAsia" w:ascii="宋体" w:hAnsi="宋体" w:cs="宋体"/>
          <w:szCs w:val="21"/>
        </w:rPr>
        <w:t xml:space="preserve">    1.产品必须是全新、未使用过的原装合格正品，完全符合竞争性谈判文件规定的质量、规格和性能的要求，达到国家或行业规定的标准，实行生产许可证制度的，应提供生产许可证；属于国家强制认证的产品，必须通过认证。</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2.供应商提供的产品必须能够满足规范及竞争性谈判文件的要求，同时还必须满足使用要求。产品及安装必须能通过采购人的质量验收、竣工验收等各类验收。</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3.特别强调：</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供应商成交后须与采购人在投标产品的“功能配置、技术要求等”方面及时交底沟通；成交供应商开始制造产品之前，采购人有权要求成交供应商对产品进行微调，最终的产品须经采购人签认同意后制造。</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三、采购清单及技术要求：</w:t>
      </w:r>
    </w:p>
    <w:tbl>
      <w:tblPr>
        <w:tblStyle w:val="21"/>
        <w:tblW w:w="8317" w:type="dxa"/>
        <w:tblInd w:w="0" w:type="dxa"/>
        <w:tblLayout w:type="fixed"/>
        <w:tblCellMar>
          <w:top w:w="0" w:type="dxa"/>
          <w:left w:w="0" w:type="dxa"/>
          <w:bottom w:w="0" w:type="dxa"/>
          <w:right w:w="0" w:type="dxa"/>
        </w:tblCellMar>
      </w:tblPr>
      <w:tblGrid>
        <w:gridCol w:w="450"/>
        <w:gridCol w:w="1080"/>
        <w:gridCol w:w="1135"/>
        <w:gridCol w:w="488"/>
        <w:gridCol w:w="575"/>
        <w:gridCol w:w="4589"/>
      </w:tblGrid>
      <w:tr>
        <w:tblPrEx>
          <w:tblCellMar>
            <w:top w:w="0" w:type="dxa"/>
            <w:left w:w="0" w:type="dxa"/>
            <w:bottom w:w="0" w:type="dxa"/>
            <w:right w:w="0" w:type="dxa"/>
          </w:tblCellMar>
        </w:tblPrEx>
        <w:trPr>
          <w:trHeight w:val="42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bCs/>
                <w:szCs w:val="21"/>
              </w:rPr>
            </w:pPr>
            <w:r>
              <w:rPr>
                <w:rFonts w:hint="eastAsia" w:ascii="宋体" w:hAnsi="宋体" w:cs="宋体"/>
                <w:bCs/>
                <w:kern w:val="0"/>
                <w:szCs w:val="21"/>
                <w:lang w:bidi="ar"/>
              </w:rPr>
              <w:t>序号</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bCs/>
                <w:szCs w:val="21"/>
              </w:rPr>
            </w:pPr>
            <w:r>
              <w:rPr>
                <w:rFonts w:hint="eastAsia" w:ascii="宋体" w:hAnsi="宋体" w:cs="宋体"/>
                <w:bCs/>
                <w:kern w:val="0"/>
                <w:szCs w:val="21"/>
                <w:lang w:bidi="ar"/>
              </w:rPr>
              <w:t>名称</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bCs/>
                <w:szCs w:val="21"/>
              </w:rPr>
            </w:pPr>
            <w:r>
              <w:rPr>
                <w:rFonts w:hint="eastAsia" w:ascii="宋体" w:hAnsi="宋体" w:cs="宋体"/>
                <w:bCs/>
                <w:kern w:val="0"/>
                <w:szCs w:val="21"/>
                <w:lang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bCs/>
                <w:szCs w:val="21"/>
              </w:rPr>
            </w:pPr>
            <w:r>
              <w:rPr>
                <w:rFonts w:hint="eastAsia" w:ascii="宋体" w:hAnsi="宋体" w:cs="宋体"/>
                <w:bCs/>
                <w:kern w:val="0"/>
                <w:szCs w:val="21"/>
                <w:lang w:bidi="ar"/>
              </w:rPr>
              <w:t>数量</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bCs/>
                <w:szCs w:val="21"/>
              </w:rPr>
            </w:pPr>
            <w:r>
              <w:rPr>
                <w:rFonts w:hint="eastAsia" w:ascii="宋体" w:hAnsi="宋体" w:cs="宋体"/>
                <w:bCs/>
                <w:kern w:val="0"/>
                <w:szCs w:val="21"/>
                <w:lang w:bidi="ar"/>
              </w:rPr>
              <w:t>技术参数</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单兵装备</w:t>
            </w:r>
            <w:r>
              <w:rPr>
                <w:rFonts w:hint="eastAsia" w:ascii="宋体" w:hAnsi="宋体" w:cs="宋体"/>
                <w:kern w:val="0"/>
                <w:szCs w:val="21"/>
                <w:lang w:bidi="ar"/>
              </w:rPr>
              <w:br w:type="textWrapping"/>
            </w:r>
            <w:r>
              <w:rPr>
                <w:rFonts w:hint="eastAsia" w:ascii="宋体" w:hAnsi="宋体" w:cs="宋体"/>
                <w:kern w:val="0"/>
                <w:szCs w:val="21"/>
                <w:lang w:bidi="ar"/>
              </w:rPr>
              <w:t>生活物资</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背囊</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07式丛林迷彩</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睡袋</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200×60M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丛林迷彩服（含帽）</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07式丛林迷彩、防静电丝、防撕裂面料</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作训鞋</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双</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07式丛林迷彩，3517厂</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个人洗漱用品</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含牙膏、牙刷、军用牙缸、毛巾、香皂、洗头膏、洗漱袋</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便携式餐具</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特大号不锈钢便携式餐盒及餐勺</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军用脸盆</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07黄色</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军用水壶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10式</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编织外腰带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根</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07式军绿色，高密度帆布材质</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民兵标志</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07式标准尺寸（臂章、领帖、胸牌）</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分体雨衣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07式丛林迷彩</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军用便携小板凳</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张</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双层迷彩布小马轧</w:t>
            </w:r>
          </w:p>
        </w:tc>
      </w:tr>
      <w:tr>
        <w:tblPrEx>
          <w:tblCellMar>
            <w:top w:w="0" w:type="dxa"/>
            <w:left w:w="0" w:type="dxa"/>
            <w:bottom w:w="0" w:type="dxa"/>
            <w:right w:w="0" w:type="dxa"/>
          </w:tblCellMar>
        </w:tblPrEx>
        <w:trPr>
          <w:trHeight w:val="166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反光背心</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面料：双层涤纶鱼鳞网眼布</w:t>
            </w:r>
            <w:r>
              <w:rPr>
                <w:rFonts w:hint="eastAsia" w:ascii="宋体" w:hAnsi="宋体" w:cs="宋体"/>
                <w:kern w:val="0"/>
                <w:szCs w:val="21"/>
                <w:lang w:bidi="ar"/>
              </w:rPr>
              <w:br w:type="textWrapping"/>
            </w:r>
            <w:r>
              <w:rPr>
                <w:rFonts w:hint="eastAsia" w:ascii="宋体" w:hAnsi="宋体" w:cs="宋体"/>
                <w:kern w:val="0"/>
                <w:szCs w:val="21"/>
                <w:lang w:bidi="ar"/>
              </w:rPr>
              <w:t>克重：120克</w:t>
            </w:r>
            <w:r>
              <w:rPr>
                <w:rFonts w:hint="eastAsia" w:ascii="宋体" w:hAnsi="宋体" w:cs="宋体"/>
                <w:kern w:val="0"/>
                <w:szCs w:val="21"/>
                <w:lang w:bidi="ar"/>
              </w:rPr>
              <w:br w:type="textWrapping"/>
            </w:r>
            <w:r>
              <w:rPr>
                <w:rFonts w:hint="eastAsia" w:ascii="宋体" w:hAnsi="宋体" w:cs="宋体"/>
                <w:kern w:val="0"/>
                <w:szCs w:val="21"/>
                <w:lang w:bidi="ar"/>
              </w:rPr>
              <w:t>颜色：荧光绿</w:t>
            </w:r>
            <w:r>
              <w:rPr>
                <w:rFonts w:hint="eastAsia" w:ascii="宋体" w:hAnsi="宋体" w:cs="宋体"/>
                <w:kern w:val="0"/>
                <w:szCs w:val="21"/>
                <w:lang w:bidi="ar"/>
              </w:rPr>
              <w:br w:type="textWrapping"/>
            </w:r>
            <w:r>
              <w:rPr>
                <w:rFonts w:hint="eastAsia" w:ascii="宋体" w:hAnsi="宋体" w:cs="宋体"/>
                <w:kern w:val="0"/>
                <w:szCs w:val="21"/>
                <w:lang w:bidi="ar"/>
              </w:rPr>
              <w:t>辅料：300D防水低弹牛津布</w:t>
            </w:r>
            <w:r>
              <w:rPr>
                <w:rFonts w:hint="eastAsia" w:ascii="宋体" w:hAnsi="宋体" w:cs="宋体"/>
                <w:kern w:val="0"/>
                <w:szCs w:val="21"/>
                <w:lang w:bidi="ar"/>
              </w:rPr>
              <w:br w:type="textWrapping"/>
            </w:r>
            <w:r>
              <w:rPr>
                <w:rFonts w:hint="eastAsia" w:ascii="宋体" w:hAnsi="宋体" w:cs="宋体"/>
                <w:kern w:val="0"/>
                <w:szCs w:val="21"/>
                <w:lang w:bidi="ar"/>
              </w:rPr>
              <w:t>反光条：标准二类高亮反光条</w:t>
            </w:r>
          </w:p>
        </w:tc>
      </w:tr>
      <w:tr>
        <w:tblPrEx>
          <w:tblCellMar>
            <w:top w:w="0" w:type="dxa"/>
            <w:left w:w="0" w:type="dxa"/>
            <w:bottom w:w="0" w:type="dxa"/>
            <w:right w:w="0" w:type="dxa"/>
          </w:tblCellMar>
        </w:tblPrEx>
        <w:trPr>
          <w:trHeight w:val="68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81型班用单帐篷</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4.8米*8米*3.5米，篷身400D*400D丛林迷彩防水帆布及防水牛津布，篷架为1.2mm不锈钢管</w:t>
            </w:r>
          </w:p>
        </w:tc>
      </w:tr>
      <w:tr>
        <w:tblPrEx>
          <w:tblCellMar>
            <w:top w:w="0" w:type="dxa"/>
            <w:left w:w="0" w:type="dxa"/>
            <w:bottom w:w="0" w:type="dxa"/>
            <w:right w:w="0" w:type="dxa"/>
          </w:tblCellMar>
        </w:tblPrEx>
        <w:trPr>
          <w:trHeight w:val="72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强光手电</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支</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防水、抗压、抗摔、防爆，28*160mm，灯泡使用寿命10万小时，持续照明8小时，提供防爆证书</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维稳执勤</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防爆头盔</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PC材质，带透明PC面罩，防撞击，15.5×24.5×29.5CM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警棍</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GA-017型T型PC防暴棍，61×30CM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盾牌（含盾牌架）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520×900MM，迷彩PC材料，厚度3.5MM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大木锤</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长95CM,重4.2公斤，硬木防蛀</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军用钢钎</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军绿色、长1.2米，直径20厘米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工兵锹</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锹为军绿色，锰钢材质，柄为硬质木材；118CM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工兵镐</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把</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镐为军绿色，高碳钢材质，柄为硬质木材；85CM</w:t>
            </w:r>
          </w:p>
        </w:tc>
      </w:tr>
      <w:tr>
        <w:tblPrEx>
          <w:tblCellMar>
            <w:top w:w="0" w:type="dxa"/>
            <w:left w:w="0" w:type="dxa"/>
            <w:bottom w:w="0" w:type="dxa"/>
            <w:right w:w="0" w:type="dxa"/>
          </w:tblCellMar>
        </w:tblPrEx>
        <w:trPr>
          <w:trHeight w:val="101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救生圈（含救生绳）</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材质为高密度聚乙烯塑料，内填聚氨酯泡沫，表面光滑，不需要充气，救生绳直径为8mm，钢丝内芯直径为2.3mm，破断拉力为960公斤，安全钩固定到位</w:t>
            </w:r>
          </w:p>
        </w:tc>
      </w:tr>
      <w:tr>
        <w:tblPrEx>
          <w:tblCellMar>
            <w:top w:w="0" w:type="dxa"/>
            <w:left w:w="0" w:type="dxa"/>
            <w:bottom w:w="0" w:type="dxa"/>
            <w:right w:w="0" w:type="dxa"/>
          </w:tblCellMar>
        </w:tblPrEx>
        <w:trPr>
          <w:trHeight w:val="101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救生衣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加厚牛筋布料，密度高，防水性强，正反4片反光条，带救生哨，救生衣白字黑体喷印，正面：钟楼（位于口袋上方，单字宽12cm*高13cm），反面：民兵（居中，单字宽12cm*高13cm）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救生衣（冲锋舟专用救生衣）</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海事专用，材质为PVC，型号RL03，红色，浮力&gt;150N</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军用雨靴</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双</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20</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际华3539黑色高帮雨鞋，防滑鞋底</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手提式防爆探照灯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9</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防爆，持续照明12小时，提供防爆证书</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伸缩梯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不锈钢双向伸缩，最高6米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29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通讯指挥</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多功能喊话器</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大功率可充电式，扩音、录音、警报、照明</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对讲机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6</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欧标A720T数字防水对讲机，存储16个频道</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口哨</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15</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钛金高音金属哨</w:t>
            </w:r>
          </w:p>
        </w:tc>
      </w:tr>
      <w:tr>
        <w:tblPrEx>
          <w:tblCellMar>
            <w:top w:w="0" w:type="dxa"/>
            <w:left w:w="0" w:type="dxa"/>
            <w:bottom w:w="0" w:type="dxa"/>
            <w:right w:w="0" w:type="dxa"/>
          </w:tblCellMar>
        </w:tblPrEx>
        <w:trPr>
          <w:trHeight w:val="93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配套设施</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器材架（承重1吨/层）</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组</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12</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颜色为军绿色,200*200*60CM。立柱：60*80*2.0MMC型钢，横梁：50*100*1.5MM抱梁，含专用盾牌、警棍、工兵镐、工兵镐、大木锤放置架</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灭火器（含箱）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组</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4KG干粉灭火器2瓶，4*2灭火箱1只</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汽油风镐</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58三用油镐，配5个镐头</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应急发电机5kw</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8kw，220v-380v通用</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电焊机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双电压自动切换，焊接厚度2-15mm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汽油无齿锯</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最大功率3.7kw，切割直径10cm，排量106.88cc，切割深度160mm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破拆机</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风冷单缸两冲程，转速10500转/分钟，切割深度115mm</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救生担架</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军绿色折叠单价，承重200kg</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抛绳包</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绳直径8mm，高强度丙纶，长51米</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通用性装备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望远镜</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62式军用望远镜</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侦察作业箱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含侦察器材</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夜视仪</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高清</w:t>
            </w:r>
          </w:p>
        </w:tc>
      </w:tr>
      <w:tr>
        <w:tblPrEx>
          <w:tblCellMar>
            <w:top w:w="0" w:type="dxa"/>
            <w:left w:w="0" w:type="dxa"/>
            <w:bottom w:w="0" w:type="dxa"/>
            <w:right w:w="0" w:type="dxa"/>
          </w:tblCellMar>
        </w:tblPrEx>
        <w:trPr>
          <w:trHeight w:val="35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急救箱</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3</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p>
        </w:tc>
      </w:tr>
      <w:tr>
        <w:tblPrEx>
          <w:tblCellMar>
            <w:top w:w="0" w:type="dxa"/>
            <w:left w:w="0" w:type="dxa"/>
            <w:bottom w:w="0" w:type="dxa"/>
            <w:right w:w="0" w:type="dxa"/>
          </w:tblCellMar>
        </w:tblPrEx>
        <w:trPr>
          <w:trHeight w:val="36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45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rPr>
                <w:rFonts w:ascii="宋体" w:hAnsi="宋体" w:cs="宋体"/>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炊事车</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exact"/>
              <w:jc w:val="center"/>
              <w:textAlignment w:val="center"/>
              <w:rPr>
                <w:rFonts w:ascii="宋体" w:hAnsi="宋体" w:cs="宋体"/>
                <w:szCs w:val="21"/>
              </w:rPr>
            </w:pPr>
            <w:r>
              <w:rPr>
                <w:rFonts w:hint="eastAsia" w:ascii="宋体" w:hAnsi="宋体" w:cs="宋体"/>
                <w:kern w:val="0"/>
                <w:szCs w:val="21"/>
                <w:lang w:bidi="ar"/>
              </w:rPr>
              <w:t>1</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exact"/>
              <w:jc w:val="left"/>
              <w:textAlignment w:val="center"/>
              <w:rPr>
                <w:rFonts w:ascii="宋体" w:hAnsi="宋体" w:cs="宋体"/>
                <w:szCs w:val="21"/>
              </w:rPr>
            </w:pPr>
            <w:r>
              <w:rPr>
                <w:rFonts w:hint="eastAsia" w:ascii="宋体" w:hAnsi="宋体" w:cs="宋体"/>
                <w:kern w:val="0"/>
                <w:szCs w:val="21"/>
                <w:lang w:bidi="ar"/>
              </w:rPr>
              <w:t>连用给养单元</w:t>
            </w:r>
          </w:p>
        </w:tc>
      </w:tr>
    </w:tbl>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四、报价方式</w:t>
      </w:r>
    </w:p>
    <w:p>
      <w:pPr>
        <w:tabs>
          <w:tab w:val="left" w:pos="284"/>
        </w:tabs>
        <w:adjustRightInd w:val="0"/>
        <w:snapToGrid w:val="0"/>
        <w:spacing w:line="360" w:lineRule="exact"/>
        <w:ind w:firstLine="420" w:firstLineChars="200"/>
        <w:rPr>
          <w:rFonts w:ascii="宋体" w:hAnsi="宋体" w:cs="宋体"/>
          <w:szCs w:val="21"/>
        </w:rPr>
      </w:pPr>
      <w:r>
        <w:rPr>
          <w:rFonts w:hint="eastAsia" w:ascii="宋体" w:hAnsi="宋体" w:cs="宋体"/>
          <w:szCs w:val="21"/>
        </w:rPr>
        <w:t>本项目谈判报价为</w:t>
      </w:r>
      <w:r>
        <w:rPr>
          <w:rFonts w:hint="eastAsia" w:ascii="宋体" w:hAnsi="宋体" w:cs="宋体"/>
          <w:b/>
          <w:bCs/>
          <w:szCs w:val="21"/>
          <w:u w:val="single"/>
        </w:rPr>
        <w:t>固定单价</w:t>
      </w:r>
      <w:r>
        <w:rPr>
          <w:rFonts w:hint="eastAsia" w:ascii="宋体" w:hAnsi="宋体" w:cs="宋体"/>
          <w:szCs w:val="21"/>
        </w:rPr>
        <w:t>，谈判总价应包括竞争性谈判文件所确定的采购范围相应货物和服务的供货、包装、运输、保险、安装调试、管理、维护、劳务、培训、验收、办公设备、设备、工具、耗材、运送工具及耗材、利润、风险、税金及政策性文件规定等各项应有费用，以及为完成该项货物或者服务项目所涉及到的一切相关费用，采购人不再支付其他任何费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报价货币为人民币，评审时以人民币为准。</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五、交货期及交货地点</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合同签订后10日内送至采购人指定地点并安装调试完成。</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六、验收标准</w:t>
      </w:r>
    </w:p>
    <w:p>
      <w:pPr>
        <w:adjustRightInd w:val="0"/>
        <w:snapToGrid w:val="0"/>
        <w:spacing w:line="360" w:lineRule="exact"/>
        <w:ind w:right="210" w:firstLine="420" w:firstLineChars="200"/>
        <w:jc w:val="left"/>
        <w:rPr>
          <w:rFonts w:ascii="宋体" w:hAnsi="宋体" w:cs="宋体"/>
          <w:szCs w:val="21"/>
        </w:rPr>
      </w:pPr>
      <w:r>
        <w:rPr>
          <w:rFonts w:hint="eastAsia" w:ascii="宋体" w:hAnsi="宋体" w:cs="宋体"/>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pPr>
        <w:adjustRightInd w:val="0"/>
        <w:snapToGrid w:val="0"/>
        <w:spacing w:line="360" w:lineRule="exact"/>
        <w:ind w:right="210" w:firstLine="420" w:firstLineChars="200"/>
        <w:jc w:val="left"/>
        <w:rPr>
          <w:rFonts w:ascii="宋体" w:hAnsi="宋体" w:cs="宋体"/>
          <w:szCs w:val="21"/>
        </w:rPr>
      </w:pPr>
      <w:r>
        <w:rPr>
          <w:rFonts w:hint="eastAsia" w:ascii="宋体" w:hAnsi="宋体" w:cs="宋体"/>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pPr>
        <w:adjustRightInd w:val="0"/>
        <w:snapToGrid w:val="0"/>
        <w:spacing w:line="360" w:lineRule="exact"/>
        <w:ind w:right="210" w:firstLine="420" w:firstLineChars="200"/>
        <w:jc w:val="left"/>
        <w:rPr>
          <w:rFonts w:ascii="宋体" w:hAnsi="宋体" w:cs="宋体"/>
          <w:szCs w:val="21"/>
        </w:rPr>
      </w:pPr>
      <w:r>
        <w:rPr>
          <w:rFonts w:hint="eastAsia" w:ascii="宋体" w:hAnsi="宋体" w:cs="宋体"/>
          <w:szCs w:val="21"/>
        </w:rPr>
        <w:t>3.经双方共同验收，产品性能参数达不到招标合同要求的，采购人可以拒收，并可以解除合同。</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七、质保期及售后服务</w:t>
      </w:r>
    </w:p>
    <w:p>
      <w:pPr>
        <w:adjustRightInd w:val="0"/>
        <w:snapToGrid w:val="0"/>
        <w:spacing w:line="360" w:lineRule="exact"/>
        <w:ind w:right="210" w:firstLine="420" w:firstLineChars="200"/>
        <w:jc w:val="left"/>
        <w:rPr>
          <w:rFonts w:ascii="宋体" w:hAnsi="宋体" w:cs="宋体"/>
          <w:szCs w:val="21"/>
        </w:rPr>
      </w:pPr>
      <w:r>
        <w:rPr>
          <w:rFonts w:hint="eastAsia" w:ascii="宋体" w:hAnsi="宋体" w:cs="宋体"/>
          <w:szCs w:val="21"/>
        </w:rPr>
        <w:t>免费质保期为验收合格起不低于壹年。</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八、付款方式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双方签订合同并生效后，中标人交货并安装调试完毕，经采购人验收合格后，一次性付清。</w:t>
      </w:r>
    </w:p>
    <w:p>
      <w:pPr>
        <w:jc w:val="center"/>
        <w:rPr>
          <w:rFonts w:ascii="宋体" w:hAnsi="宋体" w:cs="宋体"/>
          <w:b/>
          <w:sz w:val="30"/>
          <w:szCs w:val="30"/>
        </w:rPr>
      </w:pPr>
      <w:r>
        <w:rPr>
          <w:rFonts w:hint="eastAsia" w:ascii="宋体" w:hAnsi="宋体" w:cs="宋体"/>
          <w:b/>
          <w:sz w:val="30"/>
          <w:szCs w:val="30"/>
        </w:rPr>
        <w:br w:type="page"/>
      </w:r>
    </w:p>
    <w:p>
      <w:pPr>
        <w:pStyle w:val="3"/>
        <w:rPr>
          <w:rFonts w:ascii="宋体" w:hAnsi="宋体" w:cs="宋体"/>
        </w:rPr>
      </w:pPr>
      <w:bookmarkStart w:id="3" w:name="_Toc17536927"/>
      <w:r>
        <w:rPr>
          <w:rFonts w:hint="eastAsia" w:ascii="宋体" w:hAnsi="宋体" w:cs="宋体"/>
        </w:rPr>
        <w:t>第三章  合同主要条款</w:t>
      </w:r>
      <w:bookmarkEnd w:id="3"/>
    </w:p>
    <w:p>
      <w:pPr>
        <w:pStyle w:val="11"/>
        <w:adjustRightInd w:val="0"/>
        <w:snapToGrid w:val="0"/>
        <w:spacing w:line="400" w:lineRule="exact"/>
        <w:rPr>
          <w:rFonts w:eastAsia="宋体" w:cs="宋体"/>
          <w:sz w:val="21"/>
          <w:szCs w:val="21"/>
        </w:rPr>
      </w:pPr>
      <w:r>
        <w:rPr>
          <w:rFonts w:hint="eastAsia" w:eastAsia="宋体" w:cs="宋体"/>
          <w:b/>
          <w:sz w:val="21"/>
          <w:szCs w:val="21"/>
          <w:lang w:val="zh-CN"/>
        </w:rPr>
        <w:t>采购人（以下称甲</w:t>
      </w:r>
      <w:r>
        <w:rPr>
          <w:rFonts w:hint="eastAsia" w:eastAsia="宋体" w:cs="宋体"/>
          <w:b/>
          <w:sz w:val="21"/>
          <w:szCs w:val="21"/>
        </w:rPr>
        <w:t xml:space="preserve">方）:                       </w:t>
      </w:r>
      <w:r>
        <w:rPr>
          <w:rFonts w:hint="eastAsia" w:eastAsia="宋体" w:cs="宋体"/>
          <w:sz w:val="21"/>
          <w:szCs w:val="21"/>
        </w:rPr>
        <w:t>合同编号：</w:t>
      </w:r>
    </w:p>
    <w:p>
      <w:pPr>
        <w:pStyle w:val="11"/>
        <w:adjustRightInd w:val="0"/>
        <w:snapToGrid w:val="0"/>
        <w:spacing w:line="400" w:lineRule="exact"/>
        <w:rPr>
          <w:rFonts w:eastAsia="宋体" w:cs="宋体"/>
          <w:sz w:val="21"/>
          <w:szCs w:val="21"/>
          <w:u w:val="single"/>
        </w:rPr>
      </w:pPr>
      <w:r>
        <w:rPr>
          <w:rFonts w:hint="eastAsia" w:eastAsia="宋体" w:cs="宋体"/>
          <w:b/>
          <w:sz w:val="21"/>
          <w:szCs w:val="21"/>
        </w:rPr>
        <w:t>供应商（</w:t>
      </w:r>
      <w:r>
        <w:rPr>
          <w:rFonts w:hint="eastAsia" w:eastAsia="宋体" w:cs="宋体"/>
          <w:b/>
          <w:sz w:val="21"/>
          <w:szCs w:val="21"/>
          <w:lang w:val="zh-CN"/>
        </w:rPr>
        <w:t>以下称</w:t>
      </w:r>
      <w:r>
        <w:rPr>
          <w:rFonts w:hint="eastAsia" w:eastAsia="宋体" w:cs="宋体"/>
          <w:b/>
          <w:sz w:val="21"/>
          <w:szCs w:val="21"/>
        </w:rPr>
        <w:t xml:space="preserve">乙方）:                       </w:t>
      </w:r>
      <w:r>
        <w:rPr>
          <w:rFonts w:hint="eastAsia" w:eastAsia="宋体" w:cs="宋体"/>
          <w:sz w:val="21"/>
          <w:szCs w:val="21"/>
        </w:rPr>
        <w:t>签订地点：</w:t>
      </w:r>
    </w:p>
    <w:p>
      <w:pPr>
        <w:pStyle w:val="6"/>
        <w:snapToGrid w:val="0"/>
        <w:spacing w:line="400" w:lineRule="exact"/>
        <w:ind w:firstLine="4617" w:firstLineChars="2199"/>
        <w:rPr>
          <w:rFonts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甲乙双方依据《中华人民共和国合同法》以及有关法律、法规的规定，经协商一致，订立本合同，以便共同遵守。</w:t>
      </w:r>
    </w:p>
    <w:p>
      <w:pPr>
        <w:pStyle w:val="11"/>
        <w:adjustRightInd w:val="0"/>
        <w:snapToGrid w:val="0"/>
        <w:spacing w:line="360" w:lineRule="exact"/>
        <w:ind w:firstLine="426" w:firstLineChars="202"/>
        <w:rPr>
          <w:rFonts w:eastAsia="宋体" w:cs="宋体"/>
          <w:b/>
          <w:sz w:val="21"/>
          <w:szCs w:val="21"/>
        </w:rPr>
      </w:pPr>
      <w:r>
        <w:rPr>
          <w:rFonts w:hint="eastAsia" w:eastAsia="宋体" w:cs="宋体"/>
          <w:b/>
          <w:sz w:val="21"/>
          <w:szCs w:val="21"/>
        </w:rPr>
        <w:t>第一条 合同标的</w:t>
      </w:r>
    </w:p>
    <w:p>
      <w:pPr>
        <w:widowControl/>
        <w:adjustRightInd w:val="0"/>
        <w:snapToGrid w:val="0"/>
        <w:spacing w:line="360" w:lineRule="exact"/>
        <w:ind w:firstLine="424" w:firstLineChars="202"/>
        <w:jc w:val="left"/>
        <w:rPr>
          <w:rFonts w:ascii="宋体" w:hAnsi="宋体" w:cs="宋体"/>
          <w:kern w:val="0"/>
          <w:szCs w:val="21"/>
          <w:lang w:val="zh-CN"/>
        </w:rPr>
      </w:pPr>
      <w:r>
        <w:rPr>
          <w:rFonts w:hint="eastAsia" w:ascii="宋体" w:hAnsi="宋体" w:cs="宋体"/>
          <w:kern w:val="0"/>
          <w:szCs w:val="21"/>
          <w:lang w:val="zh-CN"/>
        </w:rPr>
        <w:t>乙方根据甲方需求提供下列产品：         ，产品名称、规格及数量详见乙方谈判响应文件。</w:t>
      </w:r>
    </w:p>
    <w:p>
      <w:pPr>
        <w:pStyle w:val="11"/>
        <w:adjustRightInd w:val="0"/>
        <w:snapToGrid w:val="0"/>
        <w:spacing w:line="360" w:lineRule="exact"/>
        <w:ind w:firstLine="426" w:firstLineChars="202"/>
        <w:rPr>
          <w:rFonts w:eastAsia="宋体" w:cs="宋体"/>
          <w:b/>
          <w:sz w:val="21"/>
          <w:szCs w:val="21"/>
        </w:rPr>
      </w:pPr>
      <w:r>
        <w:rPr>
          <w:rFonts w:hint="eastAsia" w:eastAsia="宋体" w:cs="宋体"/>
          <w:b/>
          <w:sz w:val="21"/>
          <w:szCs w:val="21"/>
        </w:rPr>
        <w:t>第二条 合同价格</w:t>
      </w:r>
    </w:p>
    <w:p>
      <w:pPr>
        <w:pStyle w:val="11"/>
        <w:adjustRightInd w:val="0"/>
        <w:snapToGrid w:val="0"/>
        <w:spacing w:line="360" w:lineRule="exact"/>
        <w:ind w:firstLine="426" w:firstLineChars="202"/>
        <w:jc w:val="left"/>
        <w:rPr>
          <w:rFonts w:eastAsia="宋体" w:cs="宋体"/>
          <w:b/>
          <w:sz w:val="21"/>
          <w:szCs w:val="21"/>
        </w:rPr>
      </w:pPr>
      <w:r>
        <w:rPr>
          <w:rFonts w:hint="eastAsia" w:eastAsia="宋体" w:cs="宋体"/>
          <w:b/>
          <w:sz w:val="21"/>
          <w:szCs w:val="21"/>
        </w:rPr>
        <w:t>签约合同总价（人民币，下同）：</w:t>
      </w:r>
      <w:r>
        <w:rPr>
          <w:rFonts w:hint="eastAsia" w:eastAsia="宋体" w:cs="宋体"/>
          <w:b/>
          <w:sz w:val="21"/>
          <w:szCs w:val="21"/>
          <w:u w:val="single"/>
        </w:rPr>
        <w:t xml:space="preserve">             元</w:t>
      </w:r>
      <w:r>
        <w:rPr>
          <w:rFonts w:hint="eastAsia" w:eastAsia="宋体" w:cs="宋体"/>
          <w:b/>
          <w:sz w:val="21"/>
          <w:szCs w:val="21"/>
        </w:rPr>
        <w:t xml:space="preserve">（小写       ）。 </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本合同总价款还包含乙方应当提供的伴随服务/售后服务费用。</w:t>
      </w:r>
    </w:p>
    <w:p>
      <w:pPr>
        <w:pStyle w:val="11"/>
        <w:adjustRightInd w:val="0"/>
        <w:snapToGrid w:val="0"/>
        <w:spacing w:line="360" w:lineRule="exact"/>
        <w:ind w:firstLine="426" w:firstLineChars="202"/>
        <w:rPr>
          <w:rFonts w:eastAsia="宋体" w:cs="宋体"/>
          <w:b/>
          <w:sz w:val="21"/>
          <w:szCs w:val="21"/>
        </w:rPr>
      </w:pPr>
      <w:r>
        <w:rPr>
          <w:rFonts w:hint="eastAsia" w:eastAsia="宋体" w:cs="宋体"/>
          <w:b/>
          <w:sz w:val="21"/>
          <w:szCs w:val="21"/>
        </w:rPr>
        <w:t>第三条 组成本合同的有关文件</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下列与本次采购活动有关的文件及有关附件是本合同不可分割的组成部分，与本合同具有同等法律效力，这些文件包括但不限于：</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 xml:space="preserve">（1）竞争性谈判文件（编号：   ）           （2）乙方提供的谈判响应文件； </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（3）成交通知书；                          （4）甲乙双方商定的其他文件等。</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第四条 权利保证</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乙方应保证甲方在使用该货物或其任何一部分时不受第三方提出侵犯其专利权</w:t>
      </w:r>
      <w:r>
        <w:rPr>
          <w:rFonts w:hint="eastAsia" w:ascii="宋体" w:hAnsi="宋体" w:cs="宋体"/>
          <w:shd w:val="clear" w:color="auto" w:fill="FFFFFF"/>
        </w:rPr>
        <w:t>、著作权、商标权等知识产权的起诉。</w:t>
      </w:r>
      <w:r>
        <w:rPr>
          <w:rFonts w:hint="eastAsia" w:ascii="宋体" w:hAnsi="宋体" w:cs="宋体"/>
          <w:szCs w:val="21"/>
        </w:rPr>
        <w:t>一旦出现侵权、索赔或诉讼，乙方应承担全部责任，同时甲方有权解除本合同。</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第五条 质量保证</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1.乙方所提供的货物的技术规格应与竞争性谈判文件规定的技术规格及所附的“技术规格响应表”相一致；若技术性能无特殊说明，则按国家有关部门最新颁布的标准及规范为准。</w:t>
      </w:r>
    </w:p>
    <w:p>
      <w:pPr>
        <w:pStyle w:val="11"/>
        <w:adjustRightInd w:val="0"/>
        <w:snapToGrid w:val="0"/>
        <w:spacing w:line="360" w:lineRule="exact"/>
        <w:ind w:firstLine="424" w:firstLineChars="202"/>
        <w:rPr>
          <w:rFonts w:eastAsia="宋体" w:cs="宋体"/>
          <w:sz w:val="21"/>
          <w:szCs w:val="21"/>
        </w:rPr>
      </w:pPr>
      <w:r>
        <w:rPr>
          <w:rFonts w:hint="eastAsia"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第六条 包装要求</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2.每一包装单元内应附详细的装箱单和质量合格凭证。</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3.乙方保证货物不存在危及人身及财产安全的产品缺陷，否则应承担全部法律责任。</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第七条 交货和验收</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1.乙方应当在合同签订后</w:t>
      </w:r>
      <w:r>
        <w:rPr>
          <w:rFonts w:hint="eastAsia" w:ascii="宋体" w:hAnsi="宋体" w:cs="宋体"/>
          <w:szCs w:val="21"/>
          <w:u w:val="single"/>
        </w:rPr>
        <w:t xml:space="preserve">     </w:t>
      </w:r>
      <w:r>
        <w:rPr>
          <w:rFonts w:hint="eastAsia" w:ascii="宋体" w:hAnsi="宋体" w:cs="宋体"/>
          <w:szCs w:val="21"/>
        </w:rPr>
        <w:t>天内将货物安装调试完毕交付甲方正常使用，地点由甲方指定。竞争性谈判文件有约定的，从其约定。</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3.货物的到货验收包括：生产厂家名称、品牌、型号、规格、数量、外观质量、配置及货物包装是否完好。</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cs="宋体"/>
          <w:szCs w:val="21"/>
          <w:u w:val="single"/>
        </w:rPr>
        <w:t xml:space="preserve">    </w:t>
      </w:r>
      <w:r>
        <w:rPr>
          <w:rFonts w:hint="eastAsia" w:ascii="宋体" w:hAnsi="宋体" w:cs="宋体"/>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a.重新调试直至合格为止；</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b.要求乙方对货物进行免费更换，然后重新调试直至合格为止。</w:t>
      </w:r>
    </w:p>
    <w:p>
      <w:pPr>
        <w:pStyle w:val="11"/>
        <w:adjustRightInd w:val="0"/>
        <w:snapToGrid w:val="0"/>
        <w:spacing w:line="360" w:lineRule="exact"/>
        <w:ind w:firstLine="424" w:firstLineChars="202"/>
        <w:rPr>
          <w:rFonts w:eastAsia="宋体" w:cs="宋体"/>
          <w:b/>
          <w:sz w:val="21"/>
          <w:szCs w:val="21"/>
        </w:rPr>
      </w:pPr>
      <w:r>
        <w:rPr>
          <w:rFonts w:hint="eastAsia" w:eastAsia="宋体" w:cs="宋体"/>
          <w:sz w:val="21"/>
          <w:szCs w:val="21"/>
        </w:rPr>
        <w:t>甲方因乙方原因所产生的所有费用均由乙方负担</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第八条 履约保证金</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1.乙方应按竞争性谈判文件的约定提供相应的履约保证金。</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2.如乙方未能履行合同规定的义务，甲方有权从履约保证金直接扣取。</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3.履约保证金待合同全部履行完毕后全额无息退回。</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第九条 合同款结算及支付</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1.本合同项下所有款项均以人民币支付。</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2.本合同项下的采购资金由甲方自行支付，乙方向甲方开具发票。</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3.结算原则：按实结算。</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4.如设计变更，增加的设备在清单中有的，按投标时的报价执行，若增加的设备在清单中没有的，结算时参照相似设备的谈判报价，双方协商解决。</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5.付款方式：双方签订合同并生效后，中标人交货并安装调试完毕，经采购人验收合格后，一次性付清。</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第十条 伴随服务／售后服务</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1.乙方应按照国家有关法律法规规章和“三包”规定以及合同所附的“服务承诺”提供服务。</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2.除前款规定外，乙方还应提供下列服务：</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（1）货物的现场安装、调试和/或启动监督；</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（2）就货物的安装、启动、运行及维护等对甲方人员进行免费培训。</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3.若竞争性谈判文件中不包含有关伴随服务或售后服务的承诺，双方作如下约定：</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3.2 所购货物按乙方谈判承诺提供免费维护和质量保证，保修费用计入总价。</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3.3 保修期内，乙方负责对其提供的货物整机进行维修和系统维护，不再收取任何费用，但不可抗力（如火灾、雷击等）造成的故障除外。</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3.4 货物故障报修的响应时间按乙方谈判承诺执行。</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3.5 若货物故障在检修</w:t>
      </w:r>
      <w:r>
        <w:rPr>
          <w:rFonts w:hint="eastAsia" w:ascii="宋体" w:hAnsi="宋体" w:cs="宋体"/>
          <w:szCs w:val="21"/>
          <w:u w:val="single"/>
        </w:rPr>
        <w:t xml:space="preserve">   </w:t>
      </w:r>
      <w:r>
        <w:rPr>
          <w:rFonts w:hint="eastAsia" w:ascii="宋体" w:hAnsi="宋体" w:cs="宋体"/>
          <w:szCs w:val="21"/>
        </w:rPr>
        <w:t>工作小时后仍无法排除，乙方应在</w:t>
      </w:r>
      <w:r>
        <w:rPr>
          <w:rFonts w:hint="eastAsia" w:ascii="宋体" w:hAnsi="宋体" w:cs="宋体"/>
          <w:szCs w:val="21"/>
          <w:u w:val="single"/>
        </w:rPr>
        <w:t xml:space="preserve">    </w:t>
      </w:r>
      <w:r>
        <w:rPr>
          <w:rFonts w:hint="eastAsia" w:ascii="宋体" w:hAnsi="宋体" w:cs="宋体"/>
          <w:szCs w:val="21"/>
        </w:rPr>
        <w:t>小时内免费提供不低于故障货物规格型号档次的备用货物供甲方使用，直至故障货物修复。</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3.6 所有货物保修服务方式均为乙方上门保修，即由乙方派员到货物使用现场维修，由此产生的一切费用均由乙方承担。</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3.7 保修期后的货物维护由双方协商再定。</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4.本项目免费保修期为</w:t>
      </w:r>
      <w:r>
        <w:rPr>
          <w:rFonts w:hint="eastAsia" w:ascii="宋体" w:hAnsi="宋体" w:cs="宋体"/>
          <w:szCs w:val="21"/>
          <w:u w:val="single"/>
        </w:rPr>
        <w:t xml:space="preserve">   </w:t>
      </w:r>
      <w:r>
        <w:rPr>
          <w:rFonts w:hint="eastAsia" w:ascii="宋体" w:hAnsi="宋体" w:cs="宋体"/>
          <w:szCs w:val="21"/>
        </w:rPr>
        <w:t>年。自产品验收合格之日起计算。</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第十一条 违约责任</w:t>
      </w:r>
    </w:p>
    <w:p>
      <w:pPr>
        <w:adjustRightInd w:val="0"/>
        <w:snapToGrid w:val="0"/>
        <w:spacing w:line="360" w:lineRule="exact"/>
        <w:ind w:firstLine="420" w:firstLineChars="200"/>
        <w:rPr>
          <w:rFonts w:ascii="宋体" w:hAnsi="宋体" w:cs="宋体"/>
        </w:rPr>
      </w:pPr>
      <w:r>
        <w:rPr>
          <w:rFonts w:hint="eastAsia" w:ascii="宋体" w:hAnsi="宋体" w:cs="宋体"/>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pPr>
        <w:adjustRightInd w:val="0"/>
        <w:snapToGrid w:val="0"/>
        <w:spacing w:line="360" w:lineRule="exact"/>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 。</w:t>
      </w:r>
    </w:p>
    <w:p>
      <w:pPr>
        <w:adjustRightInd w:val="0"/>
        <w:snapToGrid w:val="0"/>
        <w:spacing w:line="360" w:lineRule="exact"/>
        <w:ind w:firstLine="420" w:firstLineChars="200"/>
        <w:rPr>
          <w:rFonts w:ascii="宋体" w:hAnsi="宋体" w:cs="宋体"/>
        </w:rPr>
      </w:pPr>
      <w:r>
        <w:rPr>
          <w:rFonts w:hint="eastAsia" w:ascii="宋体" w:hAnsi="宋体" w:cs="宋体"/>
        </w:rPr>
        <w:t>3.乙方所交付的货物品种、型号、规格不符合合同规定的，甲方有权拒收，同时有权解除合同，全部履约保证金不予退还，解除合同的通知自发出之日生效。</w:t>
      </w:r>
    </w:p>
    <w:p>
      <w:pPr>
        <w:adjustRightInd w:val="0"/>
        <w:snapToGrid w:val="0"/>
        <w:spacing w:line="360" w:lineRule="exact"/>
        <w:ind w:firstLine="420" w:firstLineChars="200"/>
        <w:rPr>
          <w:rFonts w:ascii="宋体" w:hAnsi="宋体" w:cs="宋体"/>
        </w:rPr>
      </w:pPr>
      <w:r>
        <w:rPr>
          <w:rFonts w:hint="eastAsia" w:ascii="宋体" w:hAnsi="宋体" w:cs="宋体"/>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pPr>
        <w:adjustRightInd w:val="0"/>
        <w:snapToGrid w:val="0"/>
        <w:spacing w:line="360" w:lineRule="exact"/>
        <w:ind w:firstLine="420" w:firstLineChars="200"/>
        <w:rPr>
          <w:rFonts w:ascii="宋体" w:hAnsi="宋体" w:cs="宋体"/>
        </w:rPr>
      </w:pPr>
      <w:r>
        <w:rPr>
          <w:rFonts w:hint="eastAsia" w:ascii="宋体" w:hAnsi="宋体" w:cs="宋体"/>
        </w:rPr>
        <w:t>5.乙方未按本合同规定向甲方交付履约保证金的，甲方有权拒绝签订本合同，同时乙方应按应交付履约保证金的100%向甲方支付违约金。</w:t>
      </w:r>
    </w:p>
    <w:p>
      <w:pPr>
        <w:adjustRightInd w:val="0"/>
        <w:snapToGrid w:val="0"/>
        <w:spacing w:line="360" w:lineRule="exact"/>
        <w:ind w:firstLine="420" w:firstLineChars="200"/>
        <w:rPr>
          <w:rFonts w:ascii="宋体" w:hAnsi="宋体" w:cs="宋体"/>
        </w:rPr>
      </w:pPr>
      <w:r>
        <w:rPr>
          <w:rFonts w:hint="eastAsia" w:ascii="宋体" w:hAnsi="宋体" w:cs="宋体"/>
        </w:rPr>
        <w:t>6.乙方未按本合同的规定和“服务承诺”提供伴随服务/售后服务的，甲方有权提前解除本合同，同时乙方应按合同总价款的5 %向甲方承担违约责任。</w:t>
      </w:r>
    </w:p>
    <w:p>
      <w:pPr>
        <w:adjustRightInd w:val="0"/>
        <w:snapToGrid w:val="0"/>
        <w:spacing w:line="360" w:lineRule="exact"/>
        <w:ind w:firstLine="420" w:firstLineChars="200"/>
        <w:rPr>
          <w:rFonts w:ascii="宋体" w:hAnsi="宋体" w:cs="宋体"/>
        </w:rPr>
      </w:pPr>
      <w:r>
        <w:rPr>
          <w:rFonts w:hint="eastAsia" w:ascii="宋体" w:hAnsi="宋体" w:cs="宋体"/>
        </w:rPr>
        <w:t>7.乙方在承担上述一项或多项违约责任后，仍应继续履行合同规定的义务（甲方解除合同的除外）。甲方未能及时追究乙方的任何一项违约责任并不表明甲方放弃追究乙方该项或其他违约责任。</w:t>
      </w:r>
    </w:p>
    <w:p>
      <w:pPr>
        <w:adjustRightInd w:val="0"/>
        <w:snapToGrid w:val="0"/>
        <w:spacing w:line="360" w:lineRule="exact"/>
        <w:ind w:firstLine="420" w:firstLineChars="200"/>
        <w:rPr>
          <w:rFonts w:ascii="宋体" w:hAnsi="宋体" w:cs="宋体"/>
        </w:rPr>
      </w:pPr>
      <w:r>
        <w:rPr>
          <w:rFonts w:hint="eastAsia" w:ascii="宋体" w:hAnsi="宋体" w:cs="宋体"/>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pPr>
        <w:adjustRightInd w:val="0"/>
        <w:snapToGrid w:val="0"/>
        <w:spacing w:line="360" w:lineRule="exact"/>
        <w:ind w:firstLine="420" w:firstLineChars="200"/>
        <w:rPr>
          <w:rFonts w:ascii="宋体" w:hAnsi="宋体" w:cs="宋体"/>
        </w:rPr>
      </w:pPr>
      <w:r>
        <w:rPr>
          <w:rFonts w:hint="eastAsia" w:ascii="宋体" w:hAnsi="宋体" w:cs="宋体"/>
        </w:rPr>
        <w:t>9.其他未尽事宜，以《合同法》等有关法律法规规定为准，无相关规定的，双方协商解决。</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第十二条 合同的变更和终止</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第十三条 合同的转让</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乙方不得擅自部分或全部转让其应履行的合同义务。</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第十四条 不可抗力</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第十五条 质量问题或缺陷的索赔</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pPr>
        <w:adjustRightInd w:val="0"/>
        <w:snapToGrid w:val="0"/>
        <w:spacing w:line="360" w:lineRule="exact"/>
        <w:rPr>
          <w:rFonts w:ascii="宋体" w:hAnsi="宋体" w:cs="宋体"/>
          <w:szCs w:val="21"/>
        </w:rPr>
      </w:pPr>
      <w:r>
        <w:rPr>
          <w:rFonts w:hint="eastAsia" w:ascii="宋体" w:hAnsi="宋体" w:cs="宋体"/>
          <w:szCs w:val="21"/>
        </w:rPr>
        <w:t xml:space="preserve">    甲方因主张上述权利而支出的所有合理费用，包括但不限于律师费、诉讼费、鉴定费、差旅费、保函费等，均由乙方承担。</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第十六条 争议的解决</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（1）向甲方所在地人民法院提起诉讼；</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（2）向甲方所在地仲裁委员会按其仲裁规则申请仲裁。</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如没有约定，默认采取第2种方式解决争议。</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3.在法院审理和仲裁期间，除有争议部分外，本合同其他部分应继续履行。</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 xml:space="preserve">第十七条 诚实信用 </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第十八条 合同生效及其他</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1.本合同自经甲乙双方授权代表签订并加盖公章后，自签订之日起生效。见证方仅对甲乙双方签订合同的事实进行见证，不代表任何承诺或保证，该合同的履行等相关情况均与见证方无任何关系。</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pPr>
        <w:adjustRightInd w:val="0"/>
        <w:snapToGrid w:val="0"/>
        <w:spacing w:line="360" w:lineRule="exact"/>
        <w:ind w:firstLine="424" w:firstLineChars="202"/>
        <w:rPr>
          <w:rFonts w:ascii="宋体" w:hAnsi="宋体" w:cs="宋体"/>
          <w:szCs w:val="21"/>
        </w:rPr>
      </w:pPr>
      <w:r>
        <w:rPr>
          <w:rFonts w:hint="eastAsia" w:ascii="宋体" w:hAnsi="宋体" w:cs="宋体"/>
          <w:szCs w:val="21"/>
        </w:rPr>
        <w:t>3.本合同应按照中华人民共和国的现行法律进行解释。</w:t>
      </w:r>
    </w:p>
    <w:p>
      <w:pPr>
        <w:adjustRightInd w:val="0"/>
        <w:snapToGrid w:val="0"/>
        <w:spacing w:line="400" w:lineRule="exact"/>
        <w:ind w:firstLine="420"/>
        <w:rPr>
          <w:rFonts w:ascii="宋体" w:hAnsi="宋体" w:cs="宋体"/>
          <w:szCs w:val="21"/>
        </w:rPr>
      </w:pPr>
    </w:p>
    <w:p>
      <w:pPr>
        <w:adjustRightInd w:val="0"/>
        <w:snapToGrid w:val="0"/>
        <w:spacing w:line="400" w:lineRule="exact"/>
        <w:rPr>
          <w:rFonts w:ascii="宋体" w:hAnsi="宋体" w:cs="宋体"/>
          <w:szCs w:val="21"/>
        </w:rPr>
      </w:pPr>
    </w:p>
    <w:p>
      <w:pPr>
        <w:adjustRightInd w:val="0"/>
        <w:snapToGrid w:val="0"/>
        <w:spacing w:line="400" w:lineRule="exact"/>
        <w:jc w:val="left"/>
        <w:rPr>
          <w:rFonts w:ascii="宋体" w:hAnsi="宋体" w:cs="宋体"/>
          <w:b/>
          <w:bCs/>
          <w:szCs w:val="21"/>
        </w:rPr>
      </w:pPr>
    </w:p>
    <w:p>
      <w:pPr>
        <w:adjustRightInd w:val="0"/>
        <w:snapToGrid w:val="0"/>
        <w:spacing w:line="400" w:lineRule="exact"/>
        <w:jc w:val="left"/>
        <w:rPr>
          <w:rFonts w:ascii="宋体" w:hAnsi="宋体" w:cs="宋体"/>
          <w:szCs w:val="21"/>
        </w:rPr>
      </w:pPr>
      <w:r>
        <w:rPr>
          <w:rFonts w:hint="eastAsia" w:ascii="宋体" w:hAnsi="宋体" w:cs="宋体"/>
          <w:b/>
          <w:bCs/>
          <w:szCs w:val="21"/>
        </w:rPr>
        <w:t>甲    方</w:t>
      </w:r>
      <w:r>
        <w:rPr>
          <w:rFonts w:hint="eastAsia" w:ascii="宋体" w:hAnsi="宋体" w:cs="宋体"/>
          <w:szCs w:val="21"/>
        </w:rPr>
        <w:t xml:space="preserve">：                               </w:t>
      </w:r>
      <w:r>
        <w:rPr>
          <w:rFonts w:hint="eastAsia" w:ascii="宋体" w:hAnsi="宋体" w:cs="宋体"/>
          <w:b/>
          <w:bCs/>
          <w:szCs w:val="21"/>
        </w:rPr>
        <w:t>乙    方</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ascii="宋体" w:hAnsi="宋体" w:cs="宋体"/>
          <w:szCs w:val="21"/>
        </w:rPr>
        <w:t>单位名称（章）：                          单位名称（章）：</w:t>
      </w:r>
    </w:p>
    <w:p>
      <w:pPr>
        <w:adjustRightInd w:val="0"/>
        <w:snapToGrid w:val="0"/>
        <w:spacing w:line="400" w:lineRule="exact"/>
        <w:rPr>
          <w:rFonts w:ascii="宋体" w:hAnsi="宋体" w:cs="宋体"/>
          <w:szCs w:val="21"/>
          <w:u w:val="single"/>
        </w:rPr>
      </w:pPr>
      <w:r>
        <w:rPr>
          <w:rFonts w:hint="eastAsia" w:ascii="宋体" w:hAnsi="宋体" w:cs="宋体"/>
          <w:szCs w:val="21"/>
        </w:rPr>
        <w:t>单位地址：                               单位地址：</w:t>
      </w:r>
    </w:p>
    <w:p>
      <w:pPr>
        <w:adjustRightInd w:val="0"/>
        <w:snapToGrid w:val="0"/>
        <w:spacing w:line="400" w:lineRule="exact"/>
        <w:rPr>
          <w:rFonts w:ascii="宋体" w:hAnsi="宋体" w:cs="宋体"/>
          <w:szCs w:val="21"/>
        </w:rPr>
      </w:pPr>
      <w:r>
        <w:rPr>
          <w:rFonts w:hint="eastAsia" w:ascii="宋体" w:hAnsi="宋体" w:cs="宋体"/>
          <w:szCs w:val="21"/>
        </w:rPr>
        <w:t xml:space="preserve">法定代表人：       委托代理人：          法定代表人：     委托代理人：                            </w:t>
      </w:r>
    </w:p>
    <w:p>
      <w:pPr>
        <w:adjustRightInd w:val="0"/>
        <w:snapToGrid w:val="0"/>
        <w:spacing w:line="400" w:lineRule="exact"/>
        <w:rPr>
          <w:rFonts w:ascii="宋体" w:hAnsi="宋体" w:cs="宋体"/>
          <w:szCs w:val="21"/>
        </w:rPr>
      </w:pPr>
      <w:r>
        <w:rPr>
          <w:rFonts w:hint="eastAsia" w:ascii="宋体" w:hAnsi="宋体" w:cs="宋体"/>
          <w:szCs w:val="21"/>
        </w:rPr>
        <w:t>电话：                                   电话：            传真：</w:t>
      </w:r>
    </w:p>
    <w:p>
      <w:pPr>
        <w:adjustRightInd w:val="0"/>
        <w:snapToGrid w:val="0"/>
        <w:spacing w:line="400" w:lineRule="exact"/>
        <w:rPr>
          <w:rFonts w:ascii="宋体" w:hAnsi="宋体" w:cs="宋体"/>
          <w:szCs w:val="21"/>
        </w:rPr>
      </w:pPr>
      <w:r>
        <w:rPr>
          <w:rFonts w:hint="eastAsia" w:ascii="宋体" w:hAnsi="宋体" w:cs="宋体"/>
          <w:szCs w:val="21"/>
        </w:rPr>
        <w:t xml:space="preserve">传真：                                   开户银行：        账号：                                                                                 </w:t>
      </w:r>
    </w:p>
    <w:p>
      <w:pPr>
        <w:adjustRightInd w:val="0"/>
        <w:snapToGrid w:val="0"/>
        <w:spacing w:line="400" w:lineRule="exact"/>
        <w:rPr>
          <w:rFonts w:ascii="宋体" w:hAnsi="宋体" w:cs="宋体"/>
          <w:b/>
          <w:bCs/>
          <w:szCs w:val="21"/>
        </w:rPr>
      </w:pPr>
    </w:p>
    <w:p>
      <w:pPr>
        <w:adjustRightInd w:val="0"/>
        <w:snapToGrid w:val="0"/>
        <w:spacing w:line="400" w:lineRule="exact"/>
        <w:rPr>
          <w:rFonts w:ascii="宋体" w:hAnsi="宋体" w:cs="宋体"/>
          <w:szCs w:val="21"/>
        </w:rPr>
      </w:pPr>
      <w:r>
        <w:rPr>
          <w:rFonts w:hint="eastAsia" w:ascii="宋体" w:hAnsi="宋体" w:cs="宋体"/>
          <w:b/>
          <w:bCs/>
          <w:szCs w:val="21"/>
        </w:rPr>
        <w:t>见证方</w:t>
      </w:r>
      <w:r>
        <w:rPr>
          <w:rFonts w:hint="eastAsia" w:ascii="宋体" w:hAnsi="宋体" w:cs="宋体"/>
          <w:szCs w:val="21"/>
        </w:rPr>
        <w:t>：</w:t>
      </w:r>
    </w:p>
    <w:p>
      <w:pPr>
        <w:tabs>
          <w:tab w:val="left" w:pos="3780"/>
        </w:tabs>
        <w:adjustRightInd w:val="0"/>
        <w:snapToGrid w:val="0"/>
        <w:spacing w:line="400" w:lineRule="exact"/>
        <w:rPr>
          <w:rFonts w:ascii="宋体" w:hAnsi="宋体" w:cs="宋体"/>
          <w:szCs w:val="21"/>
        </w:rPr>
      </w:pPr>
      <w:r>
        <w:rPr>
          <w:rFonts w:hint="eastAsia" w:ascii="宋体" w:hAnsi="宋体" w:cs="宋体"/>
          <w:szCs w:val="21"/>
        </w:rPr>
        <w:t>代理机构（章）：</w:t>
      </w:r>
      <w:r>
        <w:rPr>
          <w:rFonts w:hint="eastAsia" w:ascii="宋体" w:hAnsi="宋体" w:cs="宋体"/>
          <w:b/>
          <w:bCs/>
          <w:szCs w:val="21"/>
          <w:u w:val="single"/>
        </w:rPr>
        <w:t>常州市城投建设工程招标有限公司</w:t>
      </w:r>
    </w:p>
    <w:p>
      <w:pPr>
        <w:adjustRightInd w:val="0"/>
        <w:snapToGrid w:val="0"/>
        <w:spacing w:line="400" w:lineRule="exact"/>
        <w:rPr>
          <w:rFonts w:ascii="宋体" w:hAnsi="宋体" w:cs="宋体"/>
          <w:szCs w:val="21"/>
        </w:rPr>
      </w:pPr>
      <w:r>
        <w:rPr>
          <w:rFonts w:hint="eastAsia" w:ascii="宋体" w:hAnsi="宋体" w:cs="宋体"/>
          <w:szCs w:val="21"/>
        </w:rPr>
        <w:t xml:space="preserve">                 </w:t>
      </w:r>
    </w:p>
    <w:p>
      <w:pPr>
        <w:adjustRightInd w:val="0"/>
        <w:snapToGrid w:val="0"/>
        <w:spacing w:line="400" w:lineRule="exact"/>
        <w:rPr>
          <w:rFonts w:ascii="宋体" w:hAnsi="宋体" w:cs="宋体"/>
          <w:szCs w:val="21"/>
        </w:rPr>
      </w:pPr>
      <w:r>
        <w:rPr>
          <w:rFonts w:hint="eastAsia" w:ascii="宋体" w:hAnsi="宋体" w:cs="宋体"/>
          <w:szCs w:val="21"/>
        </w:rPr>
        <w:t>经办人：                               电  话：</w:t>
      </w:r>
    </w:p>
    <w:p>
      <w:pPr>
        <w:jc w:val="center"/>
        <w:rPr>
          <w:rFonts w:ascii="宋体" w:hAnsi="宋体" w:cs="宋体"/>
          <w:b/>
          <w:sz w:val="30"/>
          <w:szCs w:val="30"/>
        </w:rPr>
      </w:pPr>
    </w:p>
    <w:p>
      <w:pPr>
        <w:pStyle w:val="6"/>
        <w:spacing w:line="360" w:lineRule="auto"/>
        <w:rPr>
          <w:rFonts w:hAnsi="宋体" w:cs="宋体"/>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hint="eastAsia" w:ascii="宋体" w:hAnsi="宋体" w:cs="宋体"/>
          <w:b/>
          <w:sz w:val="30"/>
          <w:szCs w:val="30"/>
        </w:rPr>
        <w:br w:type="page"/>
      </w:r>
    </w:p>
    <w:p>
      <w:pPr>
        <w:pStyle w:val="3"/>
        <w:rPr>
          <w:rFonts w:ascii="宋体" w:hAnsi="宋体" w:cs="宋体"/>
          <w:szCs w:val="21"/>
        </w:rPr>
      </w:pPr>
      <w:bookmarkStart w:id="4" w:name="_Toc17536928"/>
      <w:r>
        <w:rPr>
          <w:rFonts w:hint="eastAsia" w:ascii="宋体" w:hAnsi="宋体" w:cs="宋体"/>
        </w:rPr>
        <w:t>第四章  评审细则</w:t>
      </w:r>
      <w:bookmarkEnd w:id="4"/>
    </w:p>
    <w:p>
      <w:pPr>
        <w:adjustRightInd w:val="0"/>
        <w:snapToGrid w:val="0"/>
        <w:spacing w:line="360" w:lineRule="exact"/>
        <w:ind w:firstLine="411" w:firstLineChars="196"/>
        <w:rPr>
          <w:rFonts w:ascii="宋体" w:hAnsi="宋体" w:cs="宋体"/>
          <w:szCs w:val="21"/>
        </w:rPr>
      </w:pPr>
      <w:r>
        <w:rPr>
          <w:rFonts w:hint="eastAsia" w:ascii="宋体" w:hAnsi="宋体" w:cs="宋体"/>
          <w:szCs w:val="21"/>
        </w:rPr>
        <w:t>一、本项目采用最低评标价法，谈判响应文件满足竞争性谈判文件全部实质性要求且最终报价最低的供应商为成交供应商。</w:t>
      </w:r>
    </w:p>
    <w:p>
      <w:pPr>
        <w:adjustRightInd w:val="0"/>
        <w:snapToGrid w:val="0"/>
        <w:spacing w:line="360" w:lineRule="exact"/>
        <w:ind w:firstLine="390" w:firstLineChars="196"/>
        <w:rPr>
          <w:rFonts w:ascii="宋体" w:hAnsi="宋体" w:cs="宋体"/>
        </w:rPr>
      </w:pPr>
      <w:r>
        <w:rPr>
          <w:rFonts w:hint="eastAsia" w:ascii="宋体" w:hAnsi="宋体" w:cs="宋体"/>
          <w:b/>
          <w:spacing w:val="-6"/>
          <w:szCs w:val="21"/>
        </w:rPr>
        <w:t>二、</w:t>
      </w:r>
      <w:r>
        <w:rPr>
          <w:rFonts w:hint="eastAsia" w:ascii="宋体" w:hAnsi="宋体" w:cs="宋体"/>
        </w:rPr>
        <w:t>报价在采购预算价格以下的，为有效报价。超出此范围的报价为无效报价。无效报价的响应文件不进行评审，也不得成交。</w:t>
      </w:r>
    </w:p>
    <w:p>
      <w:pPr>
        <w:adjustRightInd w:val="0"/>
        <w:snapToGrid w:val="0"/>
        <w:spacing w:line="360" w:lineRule="exact"/>
        <w:ind w:firstLine="424" w:firstLineChars="202"/>
        <w:rPr>
          <w:rFonts w:ascii="宋体" w:hAnsi="宋体" w:cs="宋体"/>
        </w:rPr>
      </w:pPr>
      <w:r>
        <w:rPr>
          <w:rFonts w:hint="eastAsia" w:ascii="宋体" w:hAnsi="宋体" w:cs="宋体"/>
        </w:rPr>
        <w:t>五、报价相同的，由采购人抽签确定成交供应商。</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hint="eastAsia" w:ascii="宋体" w:hAnsi="宋体" w:cs="宋体"/>
          <w:b/>
          <w:sz w:val="30"/>
          <w:szCs w:val="30"/>
        </w:rPr>
        <w:br w:type="page"/>
      </w:r>
    </w:p>
    <w:p>
      <w:pPr>
        <w:pStyle w:val="3"/>
        <w:rPr>
          <w:rFonts w:ascii="宋体" w:hAnsi="宋体" w:cs="宋体"/>
        </w:rPr>
      </w:pPr>
      <w:bookmarkStart w:id="5" w:name="_Toc17536929"/>
      <w:r>
        <w:rPr>
          <w:rFonts w:hint="eastAsia" w:ascii="宋体" w:hAnsi="宋体" w:cs="宋体"/>
        </w:rPr>
        <w:t>第五章  谈判响应文件的组成</w:t>
      </w:r>
      <w:bookmarkEnd w:id="5"/>
    </w:p>
    <w:p>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一、资格审查材料，</w:t>
      </w:r>
      <w:r>
        <w:rPr>
          <w:rFonts w:hint="eastAsia" w:ascii="宋体" w:hAnsi="宋体" w:cs="宋体"/>
          <w:b/>
          <w:bCs/>
          <w:szCs w:val="21"/>
        </w:rPr>
        <w:t>证明供应商符合资格要求的证明材料包括但不限于以下材料（谈判响应文件中提供复印件并加盖公章，未加盖公章的视为未提供该项材料。同时按备注要求将原件或公证件携带至谈判现场备查）</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*1.谈判响应函</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*2.法人或者其他组织的营业执照等证明文件</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*3.法定代表人资格证明书、法定代表人身份证复印件（双面）</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*4.授权委托书、代理人身份证复印件（双面）、供应商近三个月（自谈判之日起往前推）为其缴纳社保的记录（如果有授权委托情况的，必须提供）</w:t>
      </w:r>
    </w:p>
    <w:p>
      <w:pPr>
        <w:adjustRightInd w:val="0"/>
        <w:snapToGrid w:val="0"/>
        <w:spacing w:line="360" w:lineRule="exact"/>
        <w:ind w:firstLine="422" w:firstLineChars="201"/>
        <w:rPr>
          <w:rFonts w:ascii="宋体" w:hAnsi="宋体" w:cs="宋体"/>
          <w:b/>
          <w:szCs w:val="21"/>
        </w:rPr>
      </w:pPr>
      <w:r>
        <w:rPr>
          <w:rFonts w:hint="eastAsia" w:ascii="宋体" w:hAnsi="宋体" w:cs="宋体"/>
          <w:szCs w:val="21"/>
        </w:rPr>
        <w:t>*5.谈判保证金单据</w:t>
      </w:r>
    </w:p>
    <w:p>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*1.报价一览表</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*2.谈判分项报价表</w:t>
      </w:r>
    </w:p>
    <w:p>
      <w:pPr>
        <w:adjustRightInd w:val="0"/>
        <w:snapToGrid w:val="0"/>
        <w:spacing w:line="360" w:lineRule="exact"/>
        <w:ind w:firstLine="424" w:firstLineChars="201"/>
        <w:rPr>
          <w:rFonts w:ascii="宋体" w:hAnsi="宋体" w:cs="宋体"/>
          <w:b/>
          <w:szCs w:val="21"/>
        </w:rPr>
      </w:pPr>
      <w:r>
        <w:rPr>
          <w:rFonts w:hint="eastAsia" w:ascii="宋体" w:hAnsi="宋体" w:cs="宋体"/>
          <w:b/>
          <w:szCs w:val="21"/>
        </w:rPr>
        <w:t>三、技术部分材料</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1.供应商简介</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*2.提供所供产品技术资料</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*3.质保及售后服务承诺</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*4.偏离表</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5.其他评审相关资料</w:t>
      </w:r>
    </w:p>
    <w:p>
      <w:pPr>
        <w:adjustRightInd w:val="0"/>
        <w:snapToGrid w:val="0"/>
        <w:spacing w:line="360" w:lineRule="exact"/>
        <w:ind w:firstLine="424" w:firstLineChars="201"/>
        <w:rPr>
          <w:rFonts w:ascii="宋体" w:hAnsi="宋体" w:cs="宋体"/>
          <w:b/>
          <w:bCs/>
          <w:szCs w:val="21"/>
        </w:rPr>
      </w:pPr>
      <w:r>
        <w:rPr>
          <w:rFonts w:hint="eastAsia" w:ascii="宋体" w:hAnsi="宋体" w:cs="宋体"/>
          <w:b/>
          <w:bCs/>
          <w:szCs w:val="21"/>
        </w:rPr>
        <w:t>四、说明</w:t>
      </w:r>
    </w:p>
    <w:p>
      <w:pPr>
        <w:adjustRightInd w:val="0"/>
        <w:snapToGrid w:val="0"/>
        <w:spacing w:line="360" w:lineRule="exact"/>
        <w:ind w:firstLine="422" w:firstLineChars="201"/>
        <w:rPr>
          <w:rFonts w:ascii="宋体" w:hAnsi="宋体" w:cs="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cs="宋体"/>
          <w:b/>
          <w:bCs/>
          <w:szCs w:val="21"/>
        </w:rPr>
        <w:t>所有项目若有缺失或无效将可能导致无效响应且不允许在谈判响应文件提交截止后补正。</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2.对本章所有的格式 ，供应商可根据自身情况进行补充和修改，但补充和修改不得造成与本格式内容有实质性的违背。供应商可提供其它相关的证明材料（不限于此）。</w:t>
      </w:r>
    </w:p>
    <w:p>
      <w:pPr>
        <w:adjustRightInd w:val="0"/>
        <w:snapToGrid w:val="0"/>
        <w:spacing w:line="360" w:lineRule="exact"/>
        <w:ind w:firstLine="422" w:firstLineChars="201"/>
        <w:rPr>
          <w:rFonts w:ascii="宋体" w:hAnsi="宋体" w:cs="宋体"/>
          <w:b/>
          <w:szCs w:val="21"/>
        </w:rPr>
      </w:pPr>
      <w:r>
        <w:rPr>
          <w:rFonts w:hint="eastAsia" w:ascii="宋体" w:hAnsi="宋体" w:cs="宋体"/>
          <w:szCs w:val="21"/>
        </w:rPr>
        <w:t>3.谈判响应文件需按本章要求进行编制。</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3"/>
        <w:rPr>
          <w:rFonts w:ascii="宋体" w:hAnsi="宋体" w:cs="宋体"/>
        </w:rPr>
      </w:pPr>
      <w:r>
        <w:rPr>
          <w:rFonts w:hint="eastAsia" w:ascii="宋体" w:hAnsi="宋体" w:cs="宋体"/>
        </w:rPr>
        <w:br w:type="page"/>
      </w:r>
    </w:p>
    <w:p>
      <w:pPr>
        <w:pStyle w:val="3"/>
        <w:rPr>
          <w:rFonts w:ascii="宋体" w:hAnsi="宋体" w:cs="宋体"/>
        </w:rPr>
      </w:pPr>
      <w:bookmarkStart w:id="6" w:name="_Toc17536930"/>
      <w:r>
        <w:rPr>
          <w:rFonts w:hint="eastAsia" w:ascii="宋体" w:hAnsi="宋体" w:cs="宋体"/>
        </w:rPr>
        <w:t>第六章  附    件</w:t>
      </w:r>
      <w:bookmarkEnd w:id="6"/>
    </w:p>
    <w:p>
      <w:pPr>
        <w:pStyle w:val="48"/>
        <w:spacing w:line="360" w:lineRule="exact"/>
        <w:rPr>
          <w:rFonts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告 知 书</w:t>
      </w:r>
    </w:p>
    <w:p>
      <w:pPr>
        <w:spacing w:line="360" w:lineRule="auto"/>
        <w:rPr>
          <w:rFonts w:ascii="宋体" w:hAnsi="宋体" w:cs="宋体"/>
          <w:szCs w:val="21"/>
        </w:rPr>
      </w:pPr>
      <w:r>
        <w:rPr>
          <w:rFonts w:hint="eastAsia" w:ascii="宋体" w:hAnsi="宋体" w:cs="宋体"/>
          <w:szCs w:val="21"/>
        </w:rPr>
        <w:t>尊敬的供应商及项目参与人：</w:t>
      </w:r>
    </w:p>
    <w:p>
      <w:pPr>
        <w:spacing w:line="360" w:lineRule="auto"/>
        <w:ind w:firstLine="420" w:firstLineChars="200"/>
        <w:rPr>
          <w:rFonts w:ascii="宋体" w:hAnsi="宋体" w:cs="宋体"/>
          <w:szCs w:val="21"/>
        </w:rPr>
      </w:pPr>
      <w:r>
        <w:rPr>
          <w:rFonts w:hint="eastAsia" w:ascii="宋体" w:hAnsi="宋体" w:cs="宋体"/>
          <w:szCs w:val="21"/>
        </w:rPr>
        <w:t>为营造公开、公正的市场环境，确保采购工作规范有序开展，特将有关事项告知如下：</w:t>
      </w:r>
    </w:p>
    <w:p>
      <w:pPr>
        <w:spacing w:line="360" w:lineRule="auto"/>
        <w:ind w:firstLine="420" w:firstLineChars="200"/>
        <w:rPr>
          <w:rFonts w:ascii="宋体" w:hAnsi="宋体" w:cs="宋体"/>
          <w:szCs w:val="21"/>
        </w:rPr>
      </w:pPr>
      <w:r>
        <w:rPr>
          <w:rFonts w:hint="eastAsia" w:ascii="宋体" w:hAnsi="宋体" w:cs="宋体"/>
          <w:szCs w:val="21"/>
        </w:rPr>
        <w:t>一、欢迎供应商及项目参与人对代理机构工作人员进行监督。凡发现代理机构工作人员有以下情形的，均可以书面具名方式举报，请投送至本公司总经理室。</w:t>
      </w:r>
    </w:p>
    <w:p>
      <w:pPr>
        <w:spacing w:line="360" w:lineRule="auto"/>
        <w:ind w:firstLine="420" w:firstLineChars="200"/>
        <w:rPr>
          <w:rFonts w:ascii="宋体" w:hAnsi="宋体" w:cs="宋体"/>
          <w:szCs w:val="21"/>
        </w:rPr>
      </w:pPr>
      <w:r>
        <w:rPr>
          <w:rFonts w:hint="eastAsia" w:ascii="宋体" w:hAnsi="宋体" w:cs="宋体"/>
          <w:szCs w:val="21"/>
        </w:rPr>
        <w:t>（一）接受供应商组织的宴请、旅游、娱乐等活动；</w:t>
      </w:r>
    </w:p>
    <w:p>
      <w:pPr>
        <w:spacing w:line="360" w:lineRule="auto"/>
        <w:ind w:firstLine="420" w:firstLineChars="200"/>
        <w:rPr>
          <w:rFonts w:ascii="宋体" w:hAnsi="宋体" w:cs="宋体"/>
          <w:szCs w:val="21"/>
        </w:rPr>
      </w:pPr>
      <w:r>
        <w:rPr>
          <w:rFonts w:hint="eastAsia" w:ascii="宋体" w:hAnsi="宋体" w:cs="宋体"/>
          <w:szCs w:val="21"/>
        </w:rPr>
        <w:t>（二）与供应商或采购人恶意串通的；</w:t>
      </w:r>
    </w:p>
    <w:p>
      <w:pPr>
        <w:spacing w:line="360" w:lineRule="auto"/>
        <w:ind w:firstLine="420" w:firstLineChars="200"/>
        <w:rPr>
          <w:rFonts w:ascii="宋体" w:hAnsi="宋体" w:cs="宋体"/>
          <w:szCs w:val="21"/>
        </w:rPr>
      </w:pPr>
      <w:r>
        <w:rPr>
          <w:rFonts w:hint="eastAsia" w:ascii="宋体" w:hAnsi="宋体" w:cs="宋体"/>
          <w:szCs w:val="21"/>
        </w:rPr>
        <w:t>（三）在采购过程中接受贿赂或者获取不正当利益的；</w:t>
      </w:r>
    </w:p>
    <w:p>
      <w:pPr>
        <w:spacing w:line="360" w:lineRule="auto"/>
        <w:ind w:firstLine="420" w:firstLineChars="200"/>
        <w:rPr>
          <w:rFonts w:ascii="宋体" w:hAnsi="宋体" w:cs="宋体"/>
          <w:szCs w:val="21"/>
        </w:rPr>
      </w:pPr>
      <w:r>
        <w:rPr>
          <w:rFonts w:hint="eastAsia" w:ascii="宋体" w:hAnsi="宋体" w:cs="宋体"/>
          <w:szCs w:val="21"/>
        </w:rPr>
        <w:t>（四）违规向关联参与人或供应商透露招投标或评审信息的；</w:t>
      </w:r>
    </w:p>
    <w:p>
      <w:pPr>
        <w:spacing w:line="360" w:lineRule="auto"/>
        <w:ind w:firstLine="420" w:firstLineChars="200"/>
        <w:rPr>
          <w:rFonts w:ascii="宋体" w:hAnsi="宋体" w:cs="宋体"/>
          <w:szCs w:val="21"/>
        </w:rPr>
      </w:pPr>
      <w:r>
        <w:rPr>
          <w:rFonts w:hint="eastAsia" w:ascii="宋体" w:hAnsi="宋体" w:cs="宋体"/>
          <w:szCs w:val="21"/>
        </w:rPr>
        <w:t>（五）其他违纪违规行为。</w:t>
      </w:r>
    </w:p>
    <w:p>
      <w:pPr>
        <w:spacing w:line="360" w:lineRule="auto"/>
        <w:ind w:firstLine="420" w:firstLineChars="200"/>
        <w:rPr>
          <w:rFonts w:ascii="宋体" w:hAnsi="宋体" w:cs="宋体"/>
          <w:szCs w:val="21"/>
        </w:rPr>
      </w:pPr>
      <w:r>
        <w:rPr>
          <w:rFonts w:hint="eastAsia" w:ascii="宋体" w:hAnsi="宋体" w:cs="宋体"/>
          <w:szCs w:val="21"/>
        </w:rPr>
        <w:t>二、供应商及项目参与人应当遵守采购活动工作规则，有下列情形之一的，将被列入不良行为纪录，建议有关行政监督部门禁止其一至三年内参与采购代理机构组织的一切项目，并在相关媒体网站予以公布：</w:t>
      </w:r>
    </w:p>
    <w:p>
      <w:pPr>
        <w:spacing w:line="360" w:lineRule="auto"/>
        <w:ind w:firstLine="420" w:firstLineChars="200"/>
        <w:rPr>
          <w:rFonts w:ascii="宋体" w:hAnsi="宋体" w:cs="宋体"/>
          <w:szCs w:val="21"/>
        </w:rPr>
      </w:pPr>
      <w:r>
        <w:rPr>
          <w:rFonts w:hint="eastAsia" w:ascii="宋体" w:hAnsi="宋体" w:cs="宋体"/>
          <w:szCs w:val="21"/>
        </w:rPr>
        <w:t>（一）</w:t>
      </w:r>
      <w:bookmarkStart w:id="7" w:name="OLE_LINK1"/>
      <w:r>
        <w:rPr>
          <w:rFonts w:hint="eastAsia" w:ascii="宋体" w:hAnsi="宋体" w:cs="宋体"/>
          <w:szCs w:val="21"/>
        </w:rPr>
        <w:t>在采购活动实施过程中，有吵闹、起哄、斗殴等行为，扰乱谈判现场或评审现场秩序的，以及在谈判答疑、领取竞争性谈判文件、办理相关手续过程中扰乱正常办公秩序的；</w:t>
      </w:r>
    </w:p>
    <w:bookmarkEnd w:id="7"/>
    <w:p>
      <w:pPr>
        <w:spacing w:line="360" w:lineRule="auto"/>
        <w:ind w:firstLine="420" w:firstLineChars="200"/>
        <w:rPr>
          <w:rFonts w:ascii="宋体" w:hAnsi="宋体" w:cs="宋体"/>
          <w:szCs w:val="21"/>
        </w:rPr>
      </w:pPr>
      <w:r>
        <w:rPr>
          <w:rFonts w:hint="eastAsia" w:ascii="宋体" w:hAnsi="宋体" w:cs="宋体"/>
          <w:szCs w:val="21"/>
        </w:rPr>
        <w:t>（二）采取不正当手段诋毁、排挤其他供应商的；</w:t>
      </w:r>
    </w:p>
    <w:p>
      <w:pPr>
        <w:spacing w:line="360" w:lineRule="auto"/>
        <w:ind w:firstLine="420" w:firstLineChars="200"/>
        <w:rPr>
          <w:rFonts w:ascii="宋体" w:hAnsi="宋体" w:cs="宋体"/>
          <w:szCs w:val="21"/>
        </w:rPr>
      </w:pPr>
      <w:r>
        <w:rPr>
          <w:rFonts w:hint="eastAsia" w:ascii="宋体" w:hAnsi="宋体" w:cs="宋体"/>
          <w:szCs w:val="21"/>
        </w:rPr>
        <w:t>（三）提供虚假材料谋取成交、成交的；</w:t>
      </w:r>
    </w:p>
    <w:p>
      <w:pPr>
        <w:spacing w:line="360" w:lineRule="auto"/>
        <w:ind w:firstLine="420" w:firstLineChars="200"/>
        <w:rPr>
          <w:rFonts w:ascii="宋体" w:hAnsi="宋体" w:cs="宋体"/>
          <w:szCs w:val="21"/>
        </w:rPr>
      </w:pPr>
      <w:r>
        <w:rPr>
          <w:rFonts w:hint="eastAsia" w:ascii="宋体" w:hAnsi="宋体" w:cs="宋体"/>
          <w:szCs w:val="21"/>
        </w:rPr>
        <w:t>（四）向采购人、采购代理机构工作人员行贿或提供其他不正当利益的；</w:t>
      </w:r>
    </w:p>
    <w:p>
      <w:pPr>
        <w:spacing w:line="360" w:lineRule="auto"/>
        <w:ind w:firstLine="420" w:firstLineChars="200"/>
        <w:rPr>
          <w:rFonts w:ascii="宋体" w:hAnsi="宋体" w:cs="宋体"/>
          <w:szCs w:val="21"/>
        </w:rPr>
      </w:pPr>
      <w:r>
        <w:rPr>
          <w:rFonts w:hint="eastAsia" w:ascii="宋体" w:hAnsi="宋体" w:cs="宋体"/>
          <w:szCs w:val="21"/>
        </w:rPr>
        <w:t>（五）在招投采购过程中与采购人进行协商谈判的；</w:t>
      </w:r>
    </w:p>
    <w:p>
      <w:pPr>
        <w:spacing w:line="360" w:lineRule="auto"/>
        <w:ind w:firstLine="420" w:firstLineChars="200"/>
        <w:rPr>
          <w:rFonts w:ascii="宋体" w:hAnsi="宋体" w:cs="宋体"/>
          <w:szCs w:val="21"/>
        </w:rPr>
      </w:pPr>
      <w:r>
        <w:rPr>
          <w:rFonts w:hint="eastAsia" w:ascii="宋体" w:hAnsi="宋体" w:cs="宋体"/>
          <w:szCs w:val="21"/>
        </w:rPr>
        <w:t>（六）未按规定程序进行质疑、投诉，影响项目正常进行的。</w:t>
      </w:r>
    </w:p>
    <w:p>
      <w:pPr>
        <w:spacing w:line="360" w:lineRule="auto"/>
        <w:ind w:firstLine="420" w:firstLineChars="200"/>
        <w:rPr>
          <w:rFonts w:ascii="宋体" w:hAnsi="宋体" w:cs="宋体"/>
          <w:szCs w:val="21"/>
        </w:rPr>
      </w:pPr>
      <w:r>
        <w:rPr>
          <w:rFonts w:hint="eastAsia" w:ascii="宋体" w:hAnsi="宋体" w:cs="宋体"/>
          <w:szCs w:val="21"/>
        </w:rPr>
        <w:t>监督办公室：常州市城投建设工程招标有限公司总经理室</w:t>
      </w:r>
    </w:p>
    <w:p>
      <w:pPr>
        <w:spacing w:line="360" w:lineRule="auto"/>
        <w:ind w:firstLine="420" w:firstLineChars="200"/>
        <w:rPr>
          <w:rFonts w:ascii="宋体" w:hAnsi="宋体" w:cs="宋体"/>
          <w:szCs w:val="21"/>
        </w:rPr>
      </w:pPr>
      <w:r>
        <w:rPr>
          <w:rFonts w:hint="eastAsia" w:ascii="宋体" w:hAnsi="宋体" w:cs="宋体"/>
          <w:szCs w:val="21"/>
        </w:rPr>
        <w:t>投诉监督电话：0519-81581212</w:t>
      </w:r>
    </w:p>
    <w:p>
      <w:pPr>
        <w:pStyle w:val="59"/>
        <w:spacing w:line="360" w:lineRule="exact"/>
        <w:outlineLvl w:val="1"/>
        <w:rPr>
          <w:rFonts w:hAnsi="宋体"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hint="eastAsia" w:cs="宋体"/>
          <w:b/>
          <w:sz w:val="28"/>
          <w:szCs w:val="28"/>
        </w:rPr>
        <w:br w:type="page"/>
      </w:r>
    </w:p>
    <w:p>
      <w:pPr>
        <w:pStyle w:val="48"/>
        <w:spacing w:line="360" w:lineRule="exact"/>
        <w:rPr>
          <w:rFonts w:cs="宋体"/>
          <w:b/>
          <w:sz w:val="32"/>
        </w:rPr>
      </w:pPr>
      <w:r>
        <w:rPr>
          <w:rFonts w:hint="eastAsia" w:cs="宋体"/>
          <w:b/>
          <w:sz w:val="28"/>
          <w:szCs w:val="28"/>
        </w:rPr>
        <w:t>1.谈判响应函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sz w:val="21"/>
          <w:szCs w:val="21"/>
        </w:rPr>
      </w:pPr>
      <w:r>
        <w:rPr>
          <w:rFonts w:hint="eastAsia" w:cs="宋体"/>
          <w:sz w:val="21"/>
          <w:szCs w:val="21"/>
        </w:rPr>
        <w:t>致：常州市钟楼区北港街道办事处（人民武装部）、常州市城投建设工程招标有限公司：</w:t>
      </w:r>
    </w:p>
    <w:p>
      <w:pPr>
        <w:pStyle w:val="48"/>
        <w:spacing w:line="360" w:lineRule="exact"/>
        <w:ind w:firstLine="420"/>
        <w:jc w:val="left"/>
        <w:rPr>
          <w:rFonts w:cs="宋体"/>
          <w:sz w:val="21"/>
          <w:szCs w:val="21"/>
        </w:rPr>
      </w:pPr>
      <w:r>
        <w:rPr>
          <w:rFonts w:hint="eastAsia" w:cs="宋体"/>
          <w:sz w:val="21"/>
          <w:szCs w:val="21"/>
        </w:rPr>
        <w:t>我单位收到贵单位“       号”竞争性谈判文件后，经仔细阅读和研究，我单位决定参加本项目的竞争性谈判活动。为此，我单位郑重声明以下诸点，并负法律责任。</w:t>
      </w:r>
    </w:p>
    <w:p>
      <w:pPr>
        <w:pStyle w:val="48"/>
        <w:spacing w:line="360" w:lineRule="exact"/>
        <w:ind w:firstLine="420"/>
        <w:jc w:val="left"/>
        <w:rPr>
          <w:rFonts w:cs="宋体"/>
          <w:sz w:val="21"/>
          <w:szCs w:val="21"/>
        </w:rPr>
      </w:pPr>
      <w:r>
        <w:rPr>
          <w:rFonts w:hint="eastAsia" w:cs="宋体"/>
          <w:sz w:val="21"/>
          <w:szCs w:val="21"/>
        </w:rPr>
        <w:t>1.我单位愿意遵守贵单位有关采购的各项规定，提供竞争性谈判文件中要求的所有资料，并保证完全真实准确，若有虚假和违背，我单位愿意承担由此而产生的一切后果。</w:t>
      </w:r>
    </w:p>
    <w:p>
      <w:pPr>
        <w:pStyle w:val="48"/>
        <w:spacing w:line="360" w:lineRule="exact"/>
        <w:ind w:firstLine="420"/>
        <w:jc w:val="left"/>
        <w:rPr>
          <w:rFonts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3.我单位承诺保证采购人在使用该货物或其任何一部分时不受第三方提出侵犯其专利权</w:t>
      </w:r>
      <w:r>
        <w:rPr>
          <w:rFonts w:hint="eastAsia" w:ascii="宋体" w:hAnsi="宋体" w:cs="宋体"/>
          <w:shd w:val="clear" w:color="auto" w:fill="FFFFFF"/>
        </w:rPr>
        <w:t>、著作权、商标权等知识产权的起诉。</w:t>
      </w:r>
      <w:r>
        <w:rPr>
          <w:rFonts w:hint="eastAsia" w:ascii="宋体" w:hAnsi="宋体" w:cs="宋体"/>
          <w:szCs w:val="21"/>
        </w:rPr>
        <w:t>一旦出现侵权、索赔或诉讼，我单位承担全部责任。</w:t>
      </w:r>
    </w:p>
    <w:p>
      <w:pPr>
        <w:pStyle w:val="48"/>
        <w:spacing w:line="360" w:lineRule="exact"/>
        <w:ind w:firstLine="420"/>
        <w:jc w:val="left"/>
        <w:rPr>
          <w:rFonts w:cs="宋体"/>
          <w:sz w:val="21"/>
          <w:szCs w:val="21"/>
        </w:rPr>
      </w:pPr>
      <w:r>
        <w:rPr>
          <w:rFonts w:hint="eastAsia" w:cs="宋体"/>
          <w:sz w:val="21"/>
          <w:szCs w:val="21"/>
        </w:rPr>
        <w:t>4.我单位承诺该谈判响应文件在谈判开始后的全过程中保持有效，不作任何更改和变动。并同意按竞争性谈判文件中的规定，本谈判响应文件的有效期限为谈判开始后</w:t>
      </w:r>
      <w:r>
        <w:rPr>
          <w:rFonts w:hint="eastAsia" w:cs="宋体"/>
          <w:sz w:val="21"/>
          <w:szCs w:val="21"/>
          <w:u w:val="single"/>
        </w:rPr>
        <w:t>60</w:t>
      </w:r>
      <w:r>
        <w:rPr>
          <w:rFonts w:hint="eastAsia" w:cs="宋体"/>
          <w:sz w:val="21"/>
          <w:szCs w:val="21"/>
        </w:rPr>
        <w:t>天。</w:t>
      </w:r>
    </w:p>
    <w:p>
      <w:pPr>
        <w:pStyle w:val="48"/>
        <w:spacing w:line="360" w:lineRule="exact"/>
        <w:ind w:firstLine="420"/>
        <w:jc w:val="left"/>
        <w:rPr>
          <w:rFonts w:cs="宋体"/>
          <w:sz w:val="21"/>
          <w:szCs w:val="21"/>
        </w:rPr>
      </w:pPr>
      <w:r>
        <w:rPr>
          <w:rFonts w:hint="eastAsia" w:cs="宋体"/>
          <w:sz w:val="21"/>
          <w:szCs w:val="21"/>
        </w:rPr>
        <w:t>5.我单位愿意按竞争性谈判文件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cs="宋体"/>
          <w:sz w:val="21"/>
          <w:szCs w:val="21"/>
        </w:rPr>
      </w:pPr>
      <w:r>
        <w:rPr>
          <w:rFonts w:hint="eastAsia" w:cs="宋体"/>
          <w:sz w:val="21"/>
          <w:szCs w:val="21"/>
        </w:rPr>
        <w:t>6.我单位认为贵单位有权决定成交供应商，还认为贵单位有权接受或拒绝所有的供应商。</w:t>
      </w:r>
    </w:p>
    <w:p>
      <w:pPr>
        <w:pStyle w:val="48"/>
        <w:spacing w:line="360" w:lineRule="exact"/>
        <w:ind w:firstLine="420"/>
        <w:jc w:val="left"/>
        <w:rPr>
          <w:rFonts w:cs="宋体"/>
          <w:sz w:val="21"/>
          <w:szCs w:val="21"/>
        </w:rPr>
      </w:pPr>
      <w:r>
        <w:rPr>
          <w:rFonts w:hint="eastAsia" w:cs="宋体"/>
          <w:sz w:val="21"/>
          <w:szCs w:val="21"/>
        </w:rPr>
        <w:t>7.我单位愿意遵守竞争性谈判文件中所列的收费标准，按竞争性谈判文件的规定交纳谈判保证金；若我单位成交，我单位愿意在签订合同前支付履约保证金，并按竞争性谈判文件的规定支付成交服务费。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sz w:val="21"/>
          <w:szCs w:val="21"/>
        </w:rPr>
      </w:pPr>
      <w:r>
        <w:rPr>
          <w:rFonts w:hint="eastAsia" w:cs="宋体"/>
          <w:sz w:val="21"/>
          <w:szCs w:val="21"/>
        </w:rPr>
        <w:t>8.如果我单位的谈判响应文件被接受，愿按《中华人民共和国合同法》履行自己的全部责任，同时严格履行竞争性谈判文件中规定的每一项要求，按期、按质、按量履行合同的义务。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9.与本次谈判有关的正式通讯地址为：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8"/>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48"/>
        <w:spacing w:line="360" w:lineRule="exact"/>
        <w:rPr>
          <w:rFonts w:cs="宋体"/>
          <w:b/>
          <w:sz w:val="28"/>
          <w:szCs w:val="28"/>
        </w:rPr>
      </w:pPr>
    </w:p>
    <w:p>
      <w:pPr>
        <w:pStyle w:val="48"/>
        <w:spacing w:line="360" w:lineRule="exact"/>
        <w:rPr>
          <w:rFonts w:cs="宋体"/>
          <w:b/>
          <w:sz w:val="28"/>
          <w:szCs w:val="28"/>
        </w:rPr>
      </w:pPr>
      <w:r>
        <w:rPr>
          <w:rFonts w:hint="eastAsia" w:cs="宋体"/>
          <w:b/>
          <w:sz w:val="28"/>
          <w:szCs w:val="28"/>
        </w:rPr>
        <w:t>2.法定代表人资格证明书</w:t>
      </w:r>
    </w:p>
    <w:p>
      <w:pPr>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pPr>
        <w:spacing w:line="360" w:lineRule="auto"/>
        <w:rPr>
          <w:rFonts w:ascii="宋体" w:hAnsi="宋体" w:cs="宋体"/>
          <w:szCs w:val="21"/>
        </w:rPr>
      </w:pPr>
      <w:r>
        <w:rPr>
          <w:rFonts w:hint="eastAsia" w:ascii="宋体" w:hAnsi="宋体" w:cs="宋体"/>
          <w:szCs w:val="21"/>
        </w:rPr>
        <w:t>单位名称:</w:t>
      </w:r>
    </w:p>
    <w:p>
      <w:pPr>
        <w:spacing w:line="360" w:lineRule="auto"/>
        <w:rPr>
          <w:rFonts w:ascii="宋体" w:hAnsi="宋体" w:cs="宋体"/>
          <w:szCs w:val="21"/>
        </w:rPr>
      </w:pPr>
      <w:r>
        <w:rPr>
          <w:rFonts w:hint="eastAsia" w:ascii="宋体" w:hAnsi="宋体" w:cs="宋体"/>
          <w:szCs w:val="21"/>
        </w:rPr>
        <w:t>地址:</w:t>
      </w:r>
    </w:p>
    <w:p>
      <w:pPr>
        <w:spacing w:line="360" w:lineRule="auto"/>
        <w:rPr>
          <w:rFonts w:ascii="宋体" w:hAnsi="宋体" w:cs="宋体"/>
          <w:szCs w:val="21"/>
        </w:rPr>
      </w:pPr>
      <w:r>
        <w:rPr>
          <w:rFonts w:hint="eastAsia" w:ascii="宋体" w:hAnsi="宋体" w:cs="宋体"/>
          <w:szCs w:val="21"/>
        </w:rPr>
        <w:t>姓名:            性别:        年龄:        职务:</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 </w:t>
      </w:r>
    </w:p>
    <w:p>
      <w:pPr>
        <w:snapToGrid w:val="0"/>
        <w:spacing w:line="360" w:lineRule="auto"/>
        <w:rPr>
          <w:rFonts w:ascii="宋体" w:hAnsi="宋体" w:cs="宋体"/>
          <w:szCs w:val="21"/>
        </w:rPr>
      </w:pPr>
    </w:p>
    <w:p>
      <w:pPr>
        <w:snapToGrid w:val="0"/>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法定代表人身份证</w:t>
      </w:r>
    </w:p>
    <w:p>
      <w:pPr>
        <w:spacing w:line="360" w:lineRule="auto"/>
        <w:rPr>
          <w:rFonts w:ascii="宋体" w:hAnsi="宋体" w:cs="宋体"/>
          <w:szCs w:val="21"/>
        </w:rPr>
      </w:pPr>
      <w:r>
        <w:rPr>
          <w:rFonts w:hint="eastAsia" w:ascii="宋体" w:hAnsi="宋体" w:cs="宋体"/>
          <w:szCs w:val="21"/>
        </w:rPr>
        <w:t>（双面复印件）粘贴处</w:t>
      </w:r>
    </w:p>
    <w:p>
      <w:pPr>
        <w:snapToGrid w:val="0"/>
        <w:spacing w:line="360" w:lineRule="auto"/>
        <w:rPr>
          <w:rFonts w:ascii="宋体" w:hAnsi="宋体" w:cs="宋体"/>
          <w:b/>
          <w:sz w:val="24"/>
          <w:szCs w:val="28"/>
        </w:rPr>
      </w:pPr>
    </w:p>
    <w:p>
      <w:pPr>
        <w:snapToGrid w:val="0"/>
        <w:spacing w:line="360" w:lineRule="auto"/>
        <w:rPr>
          <w:rFonts w:ascii="宋体" w:hAnsi="宋体" w:cs="宋体"/>
          <w:b/>
          <w:sz w:val="24"/>
          <w:szCs w:val="2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本授权书于__________年_______月________日签字或盖章后生效，特此声明。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代理人身份证</w:t>
      </w:r>
    </w:p>
    <w:p>
      <w:pPr>
        <w:spacing w:line="360" w:lineRule="auto"/>
        <w:rPr>
          <w:rFonts w:ascii="宋体" w:hAnsi="宋体" w:cs="宋体"/>
          <w:sz w:val="24"/>
          <w:szCs w:val="24"/>
        </w:rPr>
      </w:pPr>
      <w:r>
        <w:rPr>
          <w:rFonts w:hint="eastAsia" w:ascii="宋体" w:hAnsi="宋体" w:cs="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宋体" w:hAnsi="宋体" w:cs="宋体"/>
          <w:b/>
          <w:sz w:val="28"/>
          <w:szCs w:val="28"/>
        </w:rPr>
      </w:pPr>
      <w:r>
        <w:rPr>
          <w:rFonts w:hint="eastAsia" w:ascii="宋体" w:hAnsi="宋体" w:cs="宋体"/>
          <w:b/>
          <w:sz w:val="28"/>
          <w:szCs w:val="28"/>
        </w:rPr>
        <w:t>4.报价一览表</w:t>
      </w:r>
    </w:p>
    <w:p>
      <w:pPr>
        <w:jc w:val="center"/>
        <w:rPr>
          <w:rFonts w:ascii="宋体" w:hAnsi="宋体" w:cs="宋体"/>
          <w:b/>
          <w:sz w:val="28"/>
          <w:szCs w:val="28"/>
        </w:rPr>
      </w:pPr>
      <w:r>
        <w:rPr>
          <w:rFonts w:hint="eastAsia" w:ascii="宋体" w:hAnsi="宋体" w:cs="宋体"/>
          <w:b/>
          <w:sz w:val="28"/>
          <w:szCs w:val="28"/>
        </w:rPr>
        <w:t>报价一览表</w:t>
      </w:r>
    </w:p>
    <w:p>
      <w:pPr>
        <w:spacing w:line="500" w:lineRule="exact"/>
        <w:rPr>
          <w:rFonts w:ascii="宋体" w:hAnsi="宋体" w:cs="宋体"/>
          <w:b/>
          <w:kern w:val="0"/>
          <w:szCs w:val="21"/>
        </w:rPr>
      </w:pPr>
      <w:r>
        <w:rPr>
          <w:rFonts w:hint="eastAsia" w:ascii="宋体" w:hAnsi="宋体" w:cs="宋体"/>
          <w:b/>
          <w:kern w:val="0"/>
          <w:sz w:val="24"/>
          <w:szCs w:val="24"/>
        </w:rPr>
        <w:t xml:space="preserve">                                         </w:t>
      </w:r>
      <w:r>
        <w:rPr>
          <w:rFonts w:hint="eastAsia" w:ascii="宋体" w:hAnsi="宋体" w:cs="宋体"/>
          <w:b/>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s="宋体"/>
                <w:szCs w:val="21"/>
              </w:rPr>
            </w:pPr>
            <w:r>
              <w:rPr>
                <w:rFonts w:hint="eastAsia" w:ascii="宋体" w:hAnsi="宋体" w:cs="宋体"/>
                <w:szCs w:val="21"/>
              </w:rPr>
              <w:t>项目名称</w:t>
            </w:r>
          </w:p>
        </w:tc>
        <w:tc>
          <w:tcPr>
            <w:tcW w:w="6662" w:type="dxa"/>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s="宋体"/>
                <w:szCs w:val="21"/>
              </w:rPr>
            </w:pPr>
            <w:r>
              <w:rPr>
                <w:rFonts w:hint="eastAsia" w:ascii="宋体" w:hAnsi="宋体" w:cs="宋体"/>
                <w:szCs w:val="21"/>
              </w:rPr>
              <w:t>项目编号</w:t>
            </w:r>
          </w:p>
        </w:tc>
        <w:tc>
          <w:tcPr>
            <w:tcW w:w="6662" w:type="dxa"/>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s="宋体"/>
                <w:szCs w:val="21"/>
              </w:rPr>
            </w:pPr>
            <w:r>
              <w:rPr>
                <w:rFonts w:hint="eastAsia" w:ascii="宋体" w:hAnsi="宋体" w:cs="宋体"/>
                <w:szCs w:val="21"/>
              </w:rPr>
              <w:t>项目总价</w:t>
            </w:r>
          </w:p>
        </w:tc>
        <w:tc>
          <w:tcPr>
            <w:tcW w:w="6662" w:type="dxa"/>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s="宋体"/>
                <w:szCs w:val="21"/>
              </w:rPr>
            </w:pPr>
            <w:r>
              <w:rPr>
                <w:rFonts w:hint="eastAsia" w:ascii="宋体" w:hAnsi="宋体" w:cs="宋体"/>
                <w:szCs w:val="21"/>
              </w:rPr>
              <w:t>质保期</w:t>
            </w:r>
          </w:p>
        </w:tc>
        <w:tc>
          <w:tcPr>
            <w:tcW w:w="6662" w:type="dxa"/>
            <w:vAlign w:val="center"/>
          </w:tcPr>
          <w:p>
            <w:pPr>
              <w:widowControl/>
              <w:jc w:val="center"/>
              <w:rPr>
                <w:rFonts w:ascii="宋体" w:hAnsi="宋体" w:cs="宋体"/>
                <w:szCs w:val="21"/>
              </w:rPr>
            </w:pPr>
            <w:r>
              <w:rPr>
                <w:rFonts w:hint="eastAsia" w:ascii="宋体" w:hAnsi="宋体" w:cs="宋体"/>
                <w:szCs w:val="21"/>
              </w:rPr>
              <w:t>年</w:t>
            </w:r>
          </w:p>
        </w:tc>
      </w:tr>
    </w:tbl>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rPr>
          <w:rFonts w:ascii="宋体" w:hAnsi="宋体" w:cs="宋体"/>
          <w:sz w:val="24"/>
        </w:rPr>
      </w:pPr>
    </w:p>
    <w:p>
      <w:pPr>
        <w:spacing w:line="280" w:lineRule="exact"/>
        <w:ind w:right="420"/>
        <w:rPr>
          <w:rFonts w:ascii="宋体" w:hAnsi="宋体" w:cs="宋体"/>
          <w:szCs w:val="21"/>
        </w:rPr>
      </w:pPr>
    </w:p>
    <w:p>
      <w:pPr>
        <w:rPr>
          <w:rFonts w:ascii="宋体" w:hAnsi="宋体" w:cs="宋体"/>
          <w:b/>
          <w:sz w:val="28"/>
          <w:szCs w:val="28"/>
        </w:rPr>
      </w:pPr>
      <w:r>
        <w:rPr>
          <w:rFonts w:hint="eastAsia" w:ascii="宋体" w:hAnsi="宋体" w:cs="宋体"/>
          <w:b/>
          <w:sz w:val="28"/>
          <w:szCs w:val="28"/>
        </w:rPr>
        <w:t>5.谈判分项报价表</w:t>
      </w:r>
    </w:p>
    <w:p>
      <w:pPr>
        <w:spacing w:line="360" w:lineRule="auto"/>
        <w:jc w:val="center"/>
        <w:rPr>
          <w:rFonts w:ascii="宋体" w:hAnsi="宋体" w:cs="宋体"/>
          <w:b/>
          <w:sz w:val="28"/>
          <w:szCs w:val="28"/>
        </w:rPr>
      </w:pPr>
      <w:r>
        <w:rPr>
          <w:rFonts w:hint="eastAsia" w:ascii="宋体" w:hAnsi="宋体" w:cs="宋体"/>
          <w:b/>
          <w:sz w:val="28"/>
          <w:szCs w:val="28"/>
        </w:rPr>
        <w:t>谈判分项报价表</w:t>
      </w:r>
    </w:p>
    <w:p>
      <w:pPr>
        <w:snapToGrid w:val="0"/>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934"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设备</w:t>
            </w:r>
          </w:p>
          <w:p>
            <w:pPr>
              <w:widowControl/>
              <w:snapToGrid w:val="0"/>
              <w:spacing w:line="360" w:lineRule="auto"/>
              <w:jc w:val="center"/>
              <w:rPr>
                <w:rFonts w:ascii="宋体" w:hAnsi="宋体" w:cs="宋体"/>
                <w:kern w:val="0"/>
                <w:szCs w:val="21"/>
              </w:rPr>
            </w:pPr>
            <w:r>
              <w:rPr>
                <w:rFonts w:hint="eastAsia" w:ascii="宋体" w:hAnsi="宋体" w:cs="宋体"/>
                <w:kern w:val="0"/>
                <w:szCs w:val="21"/>
              </w:rPr>
              <w:t>名称</w:t>
            </w:r>
          </w:p>
        </w:tc>
        <w:tc>
          <w:tcPr>
            <w:tcW w:w="780"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品牌</w:t>
            </w:r>
          </w:p>
        </w:tc>
        <w:tc>
          <w:tcPr>
            <w:tcW w:w="1117"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规格型号</w:t>
            </w:r>
          </w:p>
        </w:tc>
        <w:tc>
          <w:tcPr>
            <w:tcW w:w="1799"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技术参数</w:t>
            </w:r>
          </w:p>
        </w:tc>
        <w:tc>
          <w:tcPr>
            <w:tcW w:w="613"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618" w:type="dxa"/>
            <w:vMerge w:val="restart"/>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单位</w:t>
            </w:r>
          </w:p>
        </w:tc>
        <w:tc>
          <w:tcPr>
            <w:tcW w:w="1991" w:type="dxa"/>
            <w:gridSpan w:val="2"/>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宋体"/>
                <w:kern w:val="0"/>
                <w:szCs w:val="21"/>
              </w:rPr>
            </w:pPr>
          </w:p>
        </w:tc>
        <w:tc>
          <w:tcPr>
            <w:tcW w:w="934" w:type="dxa"/>
            <w:vMerge w:val="continue"/>
            <w:vAlign w:val="center"/>
          </w:tcPr>
          <w:p>
            <w:pPr>
              <w:widowControl/>
              <w:snapToGrid w:val="0"/>
              <w:spacing w:line="360" w:lineRule="auto"/>
              <w:jc w:val="center"/>
              <w:rPr>
                <w:rFonts w:ascii="宋体" w:hAnsi="宋体" w:cs="宋体"/>
                <w:kern w:val="0"/>
                <w:szCs w:val="21"/>
              </w:rPr>
            </w:pPr>
          </w:p>
        </w:tc>
        <w:tc>
          <w:tcPr>
            <w:tcW w:w="780" w:type="dxa"/>
            <w:vMerge w:val="continue"/>
            <w:vAlign w:val="center"/>
          </w:tcPr>
          <w:p>
            <w:pPr>
              <w:widowControl/>
              <w:snapToGrid w:val="0"/>
              <w:spacing w:line="360" w:lineRule="auto"/>
              <w:jc w:val="center"/>
              <w:rPr>
                <w:rFonts w:ascii="宋体" w:hAnsi="宋体" w:cs="宋体"/>
                <w:kern w:val="0"/>
                <w:szCs w:val="21"/>
              </w:rPr>
            </w:pPr>
          </w:p>
        </w:tc>
        <w:tc>
          <w:tcPr>
            <w:tcW w:w="1117" w:type="dxa"/>
            <w:vMerge w:val="continue"/>
            <w:vAlign w:val="center"/>
          </w:tcPr>
          <w:p>
            <w:pPr>
              <w:widowControl/>
              <w:snapToGrid w:val="0"/>
              <w:spacing w:line="360" w:lineRule="auto"/>
              <w:jc w:val="center"/>
              <w:rPr>
                <w:rFonts w:ascii="宋体" w:hAnsi="宋体" w:cs="宋体"/>
                <w:kern w:val="0"/>
                <w:szCs w:val="21"/>
              </w:rPr>
            </w:pPr>
          </w:p>
        </w:tc>
        <w:tc>
          <w:tcPr>
            <w:tcW w:w="1799" w:type="dxa"/>
            <w:vMerge w:val="continue"/>
            <w:vAlign w:val="center"/>
          </w:tcPr>
          <w:p>
            <w:pPr>
              <w:widowControl/>
              <w:snapToGrid w:val="0"/>
              <w:spacing w:line="360" w:lineRule="auto"/>
              <w:jc w:val="center"/>
              <w:rPr>
                <w:rFonts w:ascii="宋体" w:hAnsi="宋体" w:cs="宋体"/>
                <w:kern w:val="0"/>
                <w:szCs w:val="21"/>
              </w:rPr>
            </w:pPr>
          </w:p>
        </w:tc>
        <w:tc>
          <w:tcPr>
            <w:tcW w:w="613" w:type="dxa"/>
            <w:vMerge w:val="continue"/>
            <w:vAlign w:val="center"/>
          </w:tcPr>
          <w:p>
            <w:pPr>
              <w:widowControl/>
              <w:snapToGrid w:val="0"/>
              <w:spacing w:line="360" w:lineRule="auto"/>
              <w:jc w:val="center"/>
              <w:rPr>
                <w:rFonts w:ascii="宋体" w:hAnsi="宋体" w:cs="宋体"/>
                <w:kern w:val="0"/>
                <w:szCs w:val="21"/>
              </w:rPr>
            </w:pPr>
          </w:p>
        </w:tc>
        <w:tc>
          <w:tcPr>
            <w:tcW w:w="618" w:type="dxa"/>
            <w:vMerge w:val="continue"/>
            <w:vAlign w:val="center"/>
          </w:tcPr>
          <w:p>
            <w:pPr>
              <w:widowControl/>
              <w:snapToGrid w:val="0"/>
              <w:spacing w:line="360" w:lineRule="auto"/>
              <w:jc w:val="center"/>
              <w:rPr>
                <w:rFonts w:ascii="宋体" w:hAnsi="宋体" w:cs="宋体"/>
                <w:kern w:val="0"/>
                <w:szCs w:val="21"/>
              </w:rPr>
            </w:pPr>
          </w:p>
        </w:tc>
        <w:tc>
          <w:tcPr>
            <w:tcW w:w="919"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单价</w:t>
            </w:r>
          </w:p>
        </w:tc>
        <w:tc>
          <w:tcPr>
            <w:tcW w:w="1072"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w:t>
            </w:r>
          </w:p>
        </w:tc>
        <w:tc>
          <w:tcPr>
            <w:tcW w:w="934" w:type="dxa"/>
            <w:vAlign w:val="center"/>
          </w:tcPr>
          <w:p>
            <w:pPr>
              <w:widowControl/>
              <w:snapToGrid w:val="0"/>
              <w:spacing w:line="360" w:lineRule="auto"/>
              <w:jc w:val="center"/>
              <w:rPr>
                <w:rFonts w:ascii="宋体" w:hAnsi="宋体" w:cs="宋体"/>
                <w:b/>
                <w:bCs/>
                <w:kern w:val="0"/>
                <w:szCs w:val="21"/>
              </w:rPr>
            </w:pPr>
          </w:p>
        </w:tc>
        <w:tc>
          <w:tcPr>
            <w:tcW w:w="780" w:type="dxa"/>
            <w:vAlign w:val="center"/>
          </w:tcPr>
          <w:p>
            <w:pPr>
              <w:widowControl/>
              <w:snapToGrid w:val="0"/>
              <w:spacing w:line="360" w:lineRule="auto"/>
              <w:jc w:val="center"/>
              <w:rPr>
                <w:rFonts w:ascii="宋体" w:hAnsi="宋体" w:cs="宋体"/>
                <w:kern w:val="0"/>
                <w:szCs w:val="21"/>
              </w:rPr>
            </w:pPr>
          </w:p>
        </w:tc>
        <w:tc>
          <w:tcPr>
            <w:tcW w:w="1117" w:type="dxa"/>
            <w:vAlign w:val="center"/>
          </w:tcPr>
          <w:p>
            <w:pPr>
              <w:widowControl/>
              <w:snapToGrid w:val="0"/>
              <w:spacing w:line="360" w:lineRule="auto"/>
              <w:jc w:val="center"/>
              <w:rPr>
                <w:rFonts w:ascii="宋体" w:hAnsi="宋体" w:cs="宋体"/>
                <w:kern w:val="0"/>
                <w:szCs w:val="21"/>
              </w:rPr>
            </w:pPr>
          </w:p>
        </w:tc>
        <w:tc>
          <w:tcPr>
            <w:tcW w:w="1799" w:type="dxa"/>
            <w:vAlign w:val="center"/>
          </w:tcPr>
          <w:p>
            <w:pPr>
              <w:widowControl/>
              <w:snapToGrid w:val="0"/>
              <w:spacing w:line="360" w:lineRule="auto"/>
              <w:jc w:val="center"/>
              <w:rPr>
                <w:rFonts w:ascii="宋体" w:hAnsi="宋体" w:cs="宋体"/>
                <w:kern w:val="0"/>
                <w:szCs w:val="21"/>
              </w:rPr>
            </w:pPr>
          </w:p>
        </w:tc>
        <w:tc>
          <w:tcPr>
            <w:tcW w:w="613" w:type="dxa"/>
            <w:vAlign w:val="center"/>
          </w:tcPr>
          <w:p>
            <w:pPr>
              <w:widowControl/>
              <w:snapToGrid w:val="0"/>
              <w:spacing w:line="360" w:lineRule="auto"/>
              <w:jc w:val="center"/>
              <w:rPr>
                <w:rFonts w:ascii="宋体" w:hAnsi="宋体" w:cs="宋体"/>
                <w:kern w:val="0"/>
                <w:szCs w:val="21"/>
              </w:rPr>
            </w:pPr>
          </w:p>
        </w:tc>
        <w:tc>
          <w:tcPr>
            <w:tcW w:w="618" w:type="dxa"/>
            <w:vAlign w:val="center"/>
          </w:tcPr>
          <w:p>
            <w:pPr>
              <w:widowControl/>
              <w:snapToGrid w:val="0"/>
              <w:spacing w:line="360" w:lineRule="auto"/>
              <w:jc w:val="center"/>
              <w:rPr>
                <w:rFonts w:ascii="宋体" w:hAnsi="宋体" w:cs="宋体"/>
                <w:kern w:val="0"/>
                <w:szCs w:val="21"/>
              </w:rPr>
            </w:pPr>
          </w:p>
        </w:tc>
        <w:tc>
          <w:tcPr>
            <w:tcW w:w="919" w:type="dxa"/>
            <w:vAlign w:val="center"/>
          </w:tcPr>
          <w:p>
            <w:pPr>
              <w:widowControl/>
              <w:snapToGrid w:val="0"/>
              <w:spacing w:line="360" w:lineRule="auto"/>
              <w:jc w:val="center"/>
              <w:rPr>
                <w:rFonts w:ascii="宋体" w:hAnsi="宋体" w:cs="宋体"/>
                <w:kern w:val="0"/>
                <w:szCs w:val="21"/>
              </w:rPr>
            </w:pPr>
          </w:p>
        </w:tc>
        <w:tc>
          <w:tcPr>
            <w:tcW w:w="1072" w:type="dxa"/>
            <w:vAlign w:val="center"/>
          </w:tcPr>
          <w:p>
            <w:pPr>
              <w:widowControl/>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2</w:t>
            </w:r>
          </w:p>
        </w:tc>
        <w:tc>
          <w:tcPr>
            <w:tcW w:w="934" w:type="dxa"/>
            <w:vAlign w:val="center"/>
          </w:tcPr>
          <w:p>
            <w:pPr>
              <w:widowControl/>
              <w:snapToGrid w:val="0"/>
              <w:spacing w:line="360" w:lineRule="auto"/>
              <w:jc w:val="center"/>
              <w:rPr>
                <w:rFonts w:ascii="宋体" w:hAnsi="宋体" w:cs="宋体"/>
                <w:b/>
                <w:bCs/>
                <w:kern w:val="0"/>
                <w:szCs w:val="21"/>
              </w:rPr>
            </w:pPr>
          </w:p>
        </w:tc>
        <w:tc>
          <w:tcPr>
            <w:tcW w:w="780" w:type="dxa"/>
            <w:vAlign w:val="center"/>
          </w:tcPr>
          <w:p>
            <w:pPr>
              <w:widowControl/>
              <w:snapToGrid w:val="0"/>
              <w:spacing w:line="360" w:lineRule="auto"/>
              <w:jc w:val="center"/>
              <w:rPr>
                <w:rFonts w:ascii="宋体" w:hAnsi="宋体" w:cs="宋体"/>
                <w:kern w:val="0"/>
                <w:szCs w:val="21"/>
              </w:rPr>
            </w:pPr>
          </w:p>
        </w:tc>
        <w:tc>
          <w:tcPr>
            <w:tcW w:w="1117" w:type="dxa"/>
            <w:vAlign w:val="center"/>
          </w:tcPr>
          <w:p>
            <w:pPr>
              <w:widowControl/>
              <w:snapToGrid w:val="0"/>
              <w:spacing w:line="360" w:lineRule="auto"/>
              <w:jc w:val="center"/>
              <w:rPr>
                <w:rFonts w:ascii="宋体" w:hAnsi="宋体" w:cs="宋体"/>
                <w:kern w:val="0"/>
                <w:szCs w:val="21"/>
              </w:rPr>
            </w:pPr>
          </w:p>
        </w:tc>
        <w:tc>
          <w:tcPr>
            <w:tcW w:w="1799" w:type="dxa"/>
            <w:vAlign w:val="center"/>
          </w:tcPr>
          <w:p>
            <w:pPr>
              <w:widowControl/>
              <w:snapToGrid w:val="0"/>
              <w:spacing w:line="360" w:lineRule="auto"/>
              <w:jc w:val="center"/>
              <w:rPr>
                <w:rFonts w:ascii="宋体" w:hAnsi="宋体" w:cs="宋体"/>
                <w:kern w:val="0"/>
                <w:szCs w:val="21"/>
              </w:rPr>
            </w:pPr>
          </w:p>
        </w:tc>
        <w:tc>
          <w:tcPr>
            <w:tcW w:w="613" w:type="dxa"/>
            <w:vAlign w:val="center"/>
          </w:tcPr>
          <w:p>
            <w:pPr>
              <w:widowControl/>
              <w:snapToGrid w:val="0"/>
              <w:spacing w:line="360" w:lineRule="auto"/>
              <w:jc w:val="center"/>
              <w:rPr>
                <w:rFonts w:ascii="宋体" w:hAnsi="宋体" w:cs="宋体"/>
                <w:kern w:val="0"/>
                <w:szCs w:val="21"/>
              </w:rPr>
            </w:pPr>
          </w:p>
        </w:tc>
        <w:tc>
          <w:tcPr>
            <w:tcW w:w="618" w:type="dxa"/>
            <w:vAlign w:val="center"/>
          </w:tcPr>
          <w:p>
            <w:pPr>
              <w:widowControl/>
              <w:snapToGrid w:val="0"/>
              <w:spacing w:line="360" w:lineRule="auto"/>
              <w:jc w:val="center"/>
              <w:rPr>
                <w:rFonts w:ascii="宋体" w:hAnsi="宋体" w:cs="宋体"/>
                <w:kern w:val="0"/>
                <w:szCs w:val="21"/>
              </w:rPr>
            </w:pPr>
          </w:p>
        </w:tc>
        <w:tc>
          <w:tcPr>
            <w:tcW w:w="919" w:type="dxa"/>
            <w:vAlign w:val="center"/>
          </w:tcPr>
          <w:p>
            <w:pPr>
              <w:widowControl/>
              <w:snapToGrid w:val="0"/>
              <w:spacing w:line="360" w:lineRule="auto"/>
              <w:jc w:val="center"/>
              <w:rPr>
                <w:rFonts w:ascii="宋体" w:hAnsi="宋体" w:cs="宋体"/>
                <w:kern w:val="0"/>
                <w:szCs w:val="21"/>
              </w:rPr>
            </w:pPr>
          </w:p>
        </w:tc>
        <w:tc>
          <w:tcPr>
            <w:tcW w:w="1072" w:type="dxa"/>
            <w:vAlign w:val="center"/>
          </w:tcPr>
          <w:p>
            <w:pPr>
              <w:widowControl/>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934" w:type="dxa"/>
            <w:vAlign w:val="center"/>
          </w:tcPr>
          <w:p>
            <w:pPr>
              <w:widowControl/>
              <w:snapToGrid w:val="0"/>
              <w:spacing w:line="360" w:lineRule="auto"/>
              <w:jc w:val="center"/>
              <w:rPr>
                <w:rFonts w:ascii="宋体" w:hAnsi="宋体" w:cs="宋体"/>
                <w:b/>
                <w:bCs/>
                <w:kern w:val="0"/>
                <w:szCs w:val="21"/>
              </w:rPr>
            </w:pPr>
          </w:p>
        </w:tc>
        <w:tc>
          <w:tcPr>
            <w:tcW w:w="780" w:type="dxa"/>
            <w:vAlign w:val="center"/>
          </w:tcPr>
          <w:p>
            <w:pPr>
              <w:widowControl/>
              <w:snapToGrid w:val="0"/>
              <w:spacing w:line="360" w:lineRule="auto"/>
              <w:jc w:val="center"/>
              <w:rPr>
                <w:rFonts w:ascii="宋体" w:hAnsi="宋体" w:cs="宋体"/>
                <w:kern w:val="0"/>
                <w:szCs w:val="21"/>
              </w:rPr>
            </w:pPr>
          </w:p>
        </w:tc>
        <w:tc>
          <w:tcPr>
            <w:tcW w:w="1117" w:type="dxa"/>
            <w:vAlign w:val="center"/>
          </w:tcPr>
          <w:p>
            <w:pPr>
              <w:widowControl/>
              <w:snapToGrid w:val="0"/>
              <w:spacing w:line="360" w:lineRule="auto"/>
              <w:jc w:val="center"/>
              <w:rPr>
                <w:rFonts w:ascii="宋体" w:hAnsi="宋体" w:cs="宋体"/>
                <w:kern w:val="0"/>
                <w:szCs w:val="21"/>
              </w:rPr>
            </w:pPr>
          </w:p>
        </w:tc>
        <w:tc>
          <w:tcPr>
            <w:tcW w:w="1799" w:type="dxa"/>
            <w:vAlign w:val="center"/>
          </w:tcPr>
          <w:p>
            <w:pPr>
              <w:widowControl/>
              <w:snapToGrid w:val="0"/>
              <w:spacing w:line="360" w:lineRule="auto"/>
              <w:jc w:val="center"/>
              <w:rPr>
                <w:rFonts w:ascii="宋体" w:hAnsi="宋体" w:cs="宋体"/>
                <w:kern w:val="0"/>
                <w:szCs w:val="21"/>
              </w:rPr>
            </w:pPr>
          </w:p>
        </w:tc>
        <w:tc>
          <w:tcPr>
            <w:tcW w:w="613" w:type="dxa"/>
            <w:vAlign w:val="center"/>
          </w:tcPr>
          <w:p>
            <w:pPr>
              <w:widowControl/>
              <w:snapToGrid w:val="0"/>
              <w:spacing w:line="360" w:lineRule="auto"/>
              <w:jc w:val="center"/>
              <w:rPr>
                <w:rFonts w:ascii="宋体" w:hAnsi="宋体" w:cs="宋体"/>
                <w:kern w:val="0"/>
                <w:szCs w:val="21"/>
              </w:rPr>
            </w:pPr>
          </w:p>
        </w:tc>
        <w:tc>
          <w:tcPr>
            <w:tcW w:w="618" w:type="dxa"/>
            <w:vAlign w:val="center"/>
          </w:tcPr>
          <w:p>
            <w:pPr>
              <w:widowControl/>
              <w:snapToGrid w:val="0"/>
              <w:spacing w:line="360" w:lineRule="auto"/>
              <w:jc w:val="center"/>
              <w:rPr>
                <w:rFonts w:ascii="宋体" w:hAnsi="宋体" w:cs="宋体"/>
                <w:kern w:val="0"/>
                <w:szCs w:val="21"/>
              </w:rPr>
            </w:pPr>
          </w:p>
        </w:tc>
        <w:tc>
          <w:tcPr>
            <w:tcW w:w="919" w:type="dxa"/>
            <w:vAlign w:val="center"/>
          </w:tcPr>
          <w:p>
            <w:pPr>
              <w:widowControl/>
              <w:snapToGrid w:val="0"/>
              <w:spacing w:line="360" w:lineRule="auto"/>
              <w:jc w:val="center"/>
              <w:rPr>
                <w:rFonts w:ascii="宋体" w:hAnsi="宋体" w:cs="宋体"/>
                <w:kern w:val="0"/>
                <w:szCs w:val="21"/>
              </w:rPr>
            </w:pPr>
          </w:p>
        </w:tc>
        <w:tc>
          <w:tcPr>
            <w:tcW w:w="1072" w:type="dxa"/>
            <w:vAlign w:val="center"/>
          </w:tcPr>
          <w:p>
            <w:pPr>
              <w:widowControl/>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w:t>
            </w:r>
          </w:p>
        </w:tc>
        <w:tc>
          <w:tcPr>
            <w:tcW w:w="934" w:type="dxa"/>
            <w:vAlign w:val="center"/>
          </w:tcPr>
          <w:p>
            <w:pPr>
              <w:widowControl/>
              <w:snapToGrid w:val="0"/>
              <w:spacing w:line="360" w:lineRule="auto"/>
              <w:jc w:val="center"/>
              <w:rPr>
                <w:rFonts w:ascii="宋体" w:hAnsi="宋体" w:cs="宋体"/>
                <w:b/>
                <w:bCs/>
                <w:kern w:val="0"/>
                <w:szCs w:val="21"/>
              </w:rPr>
            </w:pPr>
          </w:p>
        </w:tc>
        <w:tc>
          <w:tcPr>
            <w:tcW w:w="780" w:type="dxa"/>
            <w:vAlign w:val="center"/>
          </w:tcPr>
          <w:p>
            <w:pPr>
              <w:widowControl/>
              <w:snapToGrid w:val="0"/>
              <w:spacing w:line="360" w:lineRule="auto"/>
              <w:jc w:val="center"/>
              <w:rPr>
                <w:rFonts w:ascii="宋体" w:hAnsi="宋体" w:cs="宋体"/>
                <w:kern w:val="0"/>
                <w:szCs w:val="21"/>
              </w:rPr>
            </w:pPr>
          </w:p>
        </w:tc>
        <w:tc>
          <w:tcPr>
            <w:tcW w:w="1117" w:type="dxa"/>
            <w:vAlign w:val="center"/>
          </w:tcPr>
          <w:p>
            <w:pPr>
              <w:widowControl/>
              <w:snapToGrid w:val="0"/>
              <w:spacing w:line="360" w:lineRule="auto"/>
              <w:jc w:val="center"/>
              <w:rPr>
                <w:rFonts w:ascii="宋体" w:hAnsi="宋体" w:cs="宋体"/>
                <w:kern w:val="0"/>
                <w:szCs w:val="21"/>
              </w:rPr>
            </w:pPr>
          </w:p>
        </w:tc>
        <w:tc>
          <w:tcPr>
            <w:tcW w:w="1799" w:type="dxa"/>
            <w:vAlign w:val="center"/>
          </w:tcPr>
          <w:p>
            <w:pPr>
              <w:widowControl/>
              <w:snapToGrid w:val="0"/>
              <w:spacing w:line="360" w:lineRule="auto"/>
              <w:jc w:val="center"/>
              <w:rPr>
                <w:rFonts w:ascii="宋体" w:hAnsi="宋体" w:cs="宋体"/>
                <w:kern w:val="0"/>
                <w:szCs w:val="21"/>
              </w:rPr>
            </w:pPr>
          </w:p>
        </w:tc>
        <w:tc>
          <w:tcPr>
            <w:tcW w:w="613" w:type="dxa"/>
            <w:vAlign w:val="center"/>
          </w:tcPr>
          <w:p>
            <w:pPr>
              <w:widowControl/>
              <w:snapToGrid w:val="0"/>
              <w:spacing w:line="360" w:lineRule="auto"/>
              <w:jc w:val="center"/>
              <w:rPr>
                <w:rFonts w:ascii="宋体" w:hAnsi="宋体" w:cs="宋体"/>
                <w:kern w:val="0"/>
                <w:szCs w:val="21"/>
              </w:rPr>
            </w:pPr>
          </w:p>
        </w:tc>
        <w:tc>
          <w:tcPr>
            <w:tcW w:w="618" w:type="dxa"/>
            <w:vAlign w:val="center"/>
          </w:tcPr>
          <w:p>
            <w:pPr>
              <w:widowControl/>
              <w:snapToGrid w:val="0"/>
              <w:spacing w:line="360" w:lineRule="auto"/>
              <w:jc w:val="center"/>
              <w:rPr>
                <w:rFonts w:ascii="宋体" w:hAnsi="宋体" w:cs="宋体"/>
                <w:kern w:val="0"/>
                <w:szCs w:val="21"/>
              </w:rPr>
            </w:pPr>
          </w:p>
        </w:tc>
        <w:tc>
          <w:tcPr>
            <w:tcW w:w="919" w:type="dxa"/>
            <w:vAlign w:val="center"/>
          </w:tcPr>
          <w:p>
            <w:pPr>
              <w:widowControl/>
              <w:snapToGrid w:val="0"/>
              <w:spacing w:line="360" w:lineRule="auto"/>
              <w:jc w:val="center"/>
              <w:rPr>
                <w:rFonts w:ascii="宋体" w:hAnsi="宋体" w:cs="宋体"/>
                <w:kern w:val="0"/>
                <w:szCs w:val="21"/>
              </w:rPr>
            </w:pPr>
          </w:p>
        </w:tc>
        <w:tc>
          <w:tcPr>
            <w:tcW w:w="1072" w:type="dxa"/>
            <w:vAlign w:val="center"/>
          </w:tcPr>
          <w:p>
            <w:pPr>
              <w:widowControl/>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合     计</w:t>
            </w:r>
          </w:p>
        </w:tc>
        <w:tc>
          <w:tcPr>
            <w:tcW w:w="919" w:type="dxa"/>
            <w:vAlign w:val="center"/>
          </w:tcPr>
          <w:p>
            <w:pPr>
              <w:widowControl/>
              <w:snapToGrid w:val="0"/>
              <w:spacing w:line="360" w:lineRule="auto"/>
              <w:jc w:val="center"/>
              <w:rPr>
                <w:rFonts w:ascii="宋体" w:hAnsi="宋体" w:cs="宋体"/>
                <w:kern w:val="0"/>
                <w:szCs w:val="21"/>
              </w:rPr>
            </w:pPr>
          </w:p>
        </w:tc>
        <w:tc>
          <w:tcPr>
            <w:tcW w:w="1072" w:type="dxa"/>
            <w:vAlign w:val="center"/>
          </w:tcPr>
          <w:p>
            <w:pPr>
              <w:widowControl/>
              <w:snapToGrid w:val="0"/>
              <w:spacing w:line="360" w:lineRule="auto"/>
              <w:jc w:val="center"/>
              <w:rPr>
                <w:rFonts w:ascii="宋体" w:hAnsi="宋体" w:cs="宋体"/>
                <w:kern w:val="0"/>
                <w:szCs w:val="21"/>
              </w:rPr>
            </w:pPr>
          </w:p>
        </w:tc>
      </w:tr>
    </w:tbl>
    <w:p>
      <w:pPr>
        <w:widowControl/>
        <w:snapToGrid w:val="0"/>
        <w:spacing w:line="360" w:lineRule="auto"/>
        <w:rPr>
          <w:rFonts w:ascii="宋体" w:hAnsi="宋体" w:cs="宋体"/>
          <w:kern w:val="0"/>
          <w:szCs w:val="21"/>
        </w:rPr>
      </w:pPr>
      <w:r>
        <w:rPr>
          <w:rFonts w:hint="eastAsia" w:ascii="宋体" w:hAnsi="宋体" w:cs="宋体"/>
          <w:kern w:val="0"/>
          <w:szCs w:val="21"/>
        </w:rPr>
        <w:t>供应商名称（公章）：</w:t>
      </w:r>
    </w:p>
    <w:p>
      <w:pPr>
        <w:snapToGrid w:val="0"/>
        <w:spacing w:line="360" w:lineRule="auto"/>
        <w:rPr>
          <w:rFonts w:ascii="宋体" w:hAnsi="宋体" w:cs="宋体"/>
          <w:szCs w:val="21"/>
        </w:rPr>
      </w:pPr>
      <w:r>
        <w:rPr>
          <w:rFonts w:hint="eastAsia" w:ascii="宋体" w:hAnsi="宋体" w:cs="宋体"/>
          <w:szCs w:val="21"/>
        </w:rPr>
        <w:t>法定代表人或代理人（签字或盖章）：</w:t>
      </w:r>
    </w:p>
    <w:p>
      <w:pPr>
        <w:snapToGrid w:val="0"/>
        <w:spacing w:line="360" w:lineRule="auto"/>
        <w:rPr>
          <w:rFonts w:ascii="宋体" w:hAnsi="宋体" w:cs="宋体"/>
          <w:szCs w:val="21"/>
        </w:rPr>
      </w:pPr>
      <w:r>
        <w:rPr>
          <w:rFonts w:hint="eastAsia" w:ascii="宋体" w:hAnsi="宋体" w:cs="宋体"/>
          <w:szCs w:val="21"/>
        </w:rPr>
        <w:t>表式参考，可根据项目情况自行调整</w:t>
      </w:r>
    </w:p>
    <w:p>
      <w:pPr>
        <w:rPr>
          <w:rFonts w:ascii="宋体" w:hAnsi="宋体" w:cs="宋体"/>
          <w:b/>
          <w:sz w:val="28"/>
          <w:szCs w:val="28"/>
        </w:rPr>
      </w:pPr>
      <w:r>
        <w:rPr>
          <w:rFonts w:hint="eastAsia" w:ascii="宋体" w:hAnsi="宋体" w:cs="宋体"/>
          <w:b/>
          <w:sz w:val="28"/>
          <w:szCs w:val="28"/>
        </w:rPr>
        <w:br w:type="page"/>
      </w:r>
    </w:p>
    <w:p>
      <w:pPr>
        <w:rPr>
          <w:rFonts w:ascii="宋体" w:hAnsi="宋体" w:cs="宋体"/>
          <w:b/>
          <w:sz w:val="28"/>
          <w:szCs w:val="28"/>
        </w:rPr>
      </w:pPr>
      <w:r>
        <w:rPr>
          <w:rFonts w:hint="eastAsia" w:ascii="宋体" w:hAnsi="宋体" w:cs="宋体"/>
          <w:b/>
          <w:sz w:val="28"/>
          <w:szCs w:val="28"/>
        </w:rPr>
        <w:t>6.偏离表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bCs/>
          <w:sz w:val="28"/>
          <w:szCs w:val="28"/>
        </w:rPr>
      </w:pPr>
      <w:r>
        <w:rPr>
          <w:rFonts w:hint="eastAsia" w:hAnsi="宋体" w:cs="宋体"/>
          <w:b/>
          <w:bCs/>
          <w:sz w:val="28"/>
          <w:szCs w:val="28"/>
        </w:rPr>
        <w:t>7.质保及售后服务承诺书</w:t>
      </w:r>
    </w:p>
    <w:p>
      <w:pPr>
        <w:pStyle w:val="3"/>
        <w:tabs>
          <w:tab w:val="left" w:pos="432"/>
        </w:tabs>
        <w:spacing w:line="480" w:lineRule="exact"/>
        <w:rPr>
          <w:rFonts w:ascii="宋体" w:hAnsi="宋体" w:cs="宋体"/>
          <w:b w:val="0"/>
          <w:bCs/>
          <w:szCs w:val="32"/>
        </w:rPr>
      </w:pPr>
    </w:p>
    <w:p>
      <w:pPr>
        <w:jc w:val="center"/>
        <w:rPr>
          <w:rFonts w:ascii="宋体" w:hAnsi="宋体" w:cs="宋体"/>
          <w:b/>
          <w:sz w:val="28"/>
          <w:szCs w:val="28"/>
        </w:rPr>
      </w:pPr>
      <w:r>
        <w:rPr>
          <w:rFonts w:hint="eastAsia" w:ascii="宋体" w:hAnsi="宋体" w:cs="宋体"/>
          <w:b/>
          <w:sz w:val="28"/>
          <w:szCs w:val="28"/>
        </w:rPr>
        <w:t>质保及售后服务承诺书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3"/>
        <w:rPr>
          <w:rFonts w:ascii="宋体" w:hAnsi="宋体" w:cs="宋体"/>
        </w:rPr>
      </w:pPr>
      <w:bookmarkStart w:id="8" w:name="_Toc17536931"/>
      <w:r>
        <w:rPr>
          <w:rFonts w:hint="eastAsia" w:ascii="宋体" w:hAnsi="宋体" w:cs="宋体"/>
        </w:rPr>
        <w:t>友 情 提 醒</w:t>
      </w:r>
      <w:bookmarkEnd w:id="8"/>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为了提高贵单位谈判响应文件的有效性，减少不必要的无效响应，特友情提醒注意以下几点：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3.谈判响应文件</w:t>
      </w:r>
      <w:r>
        <w:rPr>
          <w:rFonts w:hint="eastAsia" w:ascii="宋体" w:hAnsi="宋体" w:cs="宋体"/>
          <w:b/>
          <w:sz w:val="24"/>
          <w:szCs w:val="24"/>
        </w:rPr>
        <w:t>正本和副本应当密封，电子光盘应当单独密封，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4.谈判响应文件中的证明文件及资料需提供复印件并加盖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，有要求提供原件或公证件的必须将原件或公证件携带至谈判现场备查或核查。</w:t>
      </w:r>
    </w:p>
    <w:p>
      <w:pPr>
        <w:spacing w:line="480" w:lineRule="exact"/>
        <w:ind w:firstLine="480" w:firstLineChars="200"/>
        <w:rPr>
          <w:rFonts w:ascii="宋体" w:hAnsi="宋体" w:cs="宋体"/>
          <w:sz w:val="24"/>
          <w:szCs w:val="24"/>
        </w:rPr>
      </w:pPr>
      <w:r>
        <w:rPr>
          <w:rFonts w:hint="eastAsia" w:ascii="宋体" w:hAnsi="宋体" w:cs="宋体"/>
          <w:sz w:val="24"/>
          <w:szCs w:val="24"/>
        </w:rPr>
        <w:t>5.需要提供样品的，请严格按竞争性谈判文件要求提供，同时注意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hint="eastAsia" w:ascii="宋体" w:hAnsi="宋体" w:cs="宋体"/>
          <w:sz w:val="24"/>
          <w:szCs w:val="24"/>
        </w:rPr>
        <w:t>6.因竞争性谈判文件文字表述有限，鼓励您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hint="eastAsia" w:ascii="宋体" w:hAnsi="宋体" w:cs="宋体"/>
          <w:sz w:val="24"/>
          <w:szCs w:val="24"/>
        </w:rPr>
        <w:t>7.设定</w:t>
      </w:r>
      <w:r>
        <w:rPr>
          <w:rFonts w:hint="eastAsia" w:ascii="宋体" w:hAnsi="宋体" w:cs="宋体"/>
          <w:b/>
          <w:sz w:val="24"/>
          <w:szCs w:val="24"/>
        </w:rPr>
        <w:t>最高限价</w:t>
      </w:r>
      <w:r>
        <w:rPr>
          <w:rFonts w:hint="eastAsia" w:ascii="宋体" w:hAnsi="宋体" w:cs="宋体"/>
          <w:sz w:val="24"/>
          <w:szCs w:val="24"/>
        </w:rPr>
        <w:t>的，超过限价一律视为无效响应。</w:t>
      </w:r>
    </w:p>
    <w:p>
      <w:pPr>
        <w:spacing w:line="480" w:lineRule="exact"/>
        <w:ind w:firstLine="480" w:firstLineChars="200"/>
        <w:rPr>
          <w:rFonts w:ascii="宋体" w:hAnsi="宋体" w:cs="宋体"/>
          <w:sz w:val="24"/>
          <w:szCs w:val="24"/>
        </w:rPr>
      </w:pPr>
      <w:r>
        <w:rPr>
          <w:rFonts w:hint="eastAsia" w:ascii="宋体" w:hAnsi="宋体" w:cs="宋体"/>
          <w:sz w:val="24"/>
          <w:szCs w:val="24"/>
        </w:rPr>
        <w:t>8.请精心仔细</w:t>
      </w:r>
      <w:r>
        <w:rPr>
          <w:rFonts w:hint="eastAsia" w:ascii="宋体" w:hAnsi="宋体" w:cs="宋体"/>
          <w:b/>
          <w:sz w:val="24"/>
          <w:szCs w:val="24"/>
        </w:rPr>
        <w:t>审阅竞争性谈判文件,特别是加粗部分的文字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我单位十分欢迎贵单位对招标采购组织工作提出宝贵意见和建议。电话：0519-81580101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pPr>
        <w:rPr>
          <w:rFonts w:ascii="宋体" w:hAnsi="宋体" w:cs="宋体"/>
        </w:rPr>
      </w:pPr>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6B2E"/>
    <w:rsid w:val="0037186A"/>
    <w:rsid w:val="00386B30"/>
    <w:rsid w:val="0039207C"/>
    <w:rsid w:val="003943D6"/>
    <w:rsid w:val="003A5212"/>
    <w:rsid w:val="003B18FB"/>
    <w:rsid w:val="003B2602"/>
    <w:rsid w:val="003B5164"/>
    <w:rsid w:val="003B66C3"/>
    <w:rsid w:val="003B714F"/>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492D"/>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1C97"/>
    <w:rsid w:val="00980674"/>
    <w:rsid w:val="009847A3"/>
    <w:rsid w:val="00993315"/>
    <w:rsid w:val="00993B6B"/>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3FDC"/>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64D1A"/>
    <w:rsid w:val="00F73EC9"/>
    <w:rsid w:val="00F75611"/>
    <w:rsid w:val="00F80D15"/>
    <w:rsid w:val="00F92956"/>
    <w:rsid w:val="00F93D31"/>
    <w:rsid w:val="00F970D1"/>
    <w:rsid w:val="00FA2B9D"/>
    <w:rsid w:val="00FA6662"/>
    <w:rsid w:val="00FB0DE5"/>
    <w:rsid w:val="00FB2BB4"/>
    <w:rsid w:val="00FB3F66"/>
    <w:rsid w:val="00FC2CCE"/>
    <w:rsid w:val="00FC768F"/>
    <w:rsid w:val="00FD3CDA"/>
    <w:rsid w:val="00FD7E1B"/>
    <w:rsid w:val="00FE1F11"/>
    <w:rsid w:val="00FE3BEB"/>
    <w:rsid w:val="00FF1023"/>
    <w:rsid w:val="00FF25DB"/>
    <w:rsid w:val="00FF3A44"/>
    <w:rsid w:val="00FF4956"/>
    <w:rsid w:val="00FF5702"/>
    <w:rsid w:val="04293E40"/>
    <w:rsid w:val="04DC1E53"/>
    <w:rsid w:val="04F603C2"/>
    <w:rsid w:val="07507630"/>
    <w:rsid w:val="0F6E577E"/>
    <w:rsid w:val="12B7662E"/>
    <w:rsid w:val="16A34B6B"/>
    <w:rsid w:val="1BE42505"/>
    <w:rsid w:val="1EAE0B86"/>
    <w:rsid w:val="20575537"/>
    <w:rsid w:val="236F73CC"/>
    <w:rsid w:val="248723FA"/>
    <w:rsid w:val="25F06751"/>
    <w:rsid w:val="31931EF0"/>
    <w:rsid w:val="386D0937"/>
    <w:rsid w:val="387307DB"/>
    <w:rsid w:val="3D9E6269"/>
    <w:rsid w:val="40612D8C"/>
    <w:rsid w:val="42DF0A26"/>
    <w:rsid w:val="445D32E2"/>
    <w:rsid w:val="4A100613"/>
    <w:rsid w:val="4A327581"/>
    <w:rsid w:val="52104B4E"/>
    <w:rsid w:val="56402716"/>
    <w:rsid w:val="57CF0746"/>
    <w:rsid w:val="5B302AB4"/>
    <w:rsid w:val="62086601"/>
    <w:rsid w:val="634F2F9E"/>
    <w:rsid w:val="63C83460"/>
    <w:rsid w:val="65083EEA"/>
    <w:rsid w:val="664B7DC3"/>
    <w:rsid w:val="677B4180"/>
    <w:rsid w:val="71181AB0"/>
    <w:rsid w:val="72DC3BAB"/>
    <w:rsid w:val="756141E1"/>
    <w:rsid w:val="789627A5"/>
    <w:rsid w:val="7907688C"/>
    <w:rsid w:val="7C024290"/>
    <w:rsid w:val="7CDA7BA3"/>
    <w:rsid w:val="7E3B0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spacing w:after="120"/>
    </w:pPr>
    <w:rPr>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字符"/>
    <w:basedOn w:val="23"/>
    <w:link w:val="3"/>
    <w:qFormat/>
    <w:uiPriority w:val="0"/>
    <w:rPr>
      <w:rFonts w:ascii="黑体" w:hAnsi="Times New Roman" w:eastAsia="宋体" w:cs="Times New Roman"/>
      <w:b/>
      <w:kern w:val="2"/>
      <w:sz w:val="32"/>
      <w:szCs w:val="24"/>
    </w:rPr>
  </w:style>
  <w:style w:type="character" w:customStyle="1" w:styleId="28">
    <w:name w:val="标题 2 字符"/>
    <w:basedOn w:val="23"/>
    <w:link w:val="4"/>
    <w:qFormat/>
    <w:uiPriority w:val="0"/>
    <w:rPr>
      <w:rFonts w:ascii="Arial" w:hAnsi="Arial" w:eastAsia="黑体" w:cs="Times New Roman"/>
      <w:b/>
      <w:sz w:val="32"/>
      <w:szCs w:val="20"/>
    </w:rPr>
  </w:style>
  <w:style w:type="character" w:customStyle="1" w:styleId="29">
    <w:name w:val="标题 3 字符"/>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7"/>
    <w:semiHidden/>
    <w:qFormat/>
    <w:uiPriority w:val="99"/>
    <w:rPr>
      <w:rFonts w:ascii="宋体" w:hAnsi="Times New Roman" w:eastAsia="宋体" w:cs="Times New Roman"/>
      <w:sz w:val="18"/>
      <w:szCs w:val="18"/>
    </w:rPr>
  </w:style>
  <w:style w:type="character" w:customStyle="1" w:styleId="37">
    <w:name w:val="批注文字 字符"/>
    <w:basedOn w:val="23"/>
    <w:link w:val="8"/>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2"/>
    <w:qFormat/>
    <w:uiPriority w:val="0"/>
    <w:rPr>
      <w:rFonts w:ascii="Times New Roman" w:hAnsi="Times New Roman" w:eastAsia="宋体" w:cs="Times New Roman"/>
      <w:szCs w:val="24"/>
    </w:rPr>
  </w:style>
  <w:style w:type="character" w:customStyle="1" w:styleId="40">
    <w:name w:val="正文文本缩进 字符"/>
    <w:basedOn w:val="23"/>
    <w:link w:val="9"/>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43"/>
    <customShpInfo spid="_x0000_s1044"/>
    <customShpInfo spid="_x0000_s1045"/>
    <customShpInfo spid="_x0000_s1046"/>
    <customShpInfo spid="_x0000_s104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2A057-86DA-4B4F-BBE4-C8787BEC9A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3505</Words>
  <Characters>19983</Characters>
  <Lines>166</Lines>
  <Paragraphs>46</Paragraphs>
  <TotalTime>0</TotalTime>
  <ScaleCrop>false</ScaleCrop>
  <LinksUpToDate>false</LinksUpToDate>
  <CharactersWithSpaces>23442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2020-09-18T05:58:00Z</cp:lastPrinted>
  <dcterms:modified xsi:type="dcterms:W3CDTF">2020-09-25T10:00:30Z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