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color w:val="auto"/>
          <w:sz w:val="44"/>
          <w:szCs w:val="44"/>
        </w:rPr>
      </w:pPr>
    </w:p>
    <w:p>
      <w:pPr>
        <w:tabs>
          <w:tab w:val="left" w:pos="2450"/>
        </w:tabs>
        <w:spacing w:line="680" w:lineRule="exact"/>
        <w:rPr>
          <w:rFonts w:hint="eastAsia" w:ascii="宋体" w:hAnsi="宋体" w:eastAsia="宋体" w:cs="宋体"/>
          <w:color w:val="auto"/>
          <w:sz w:val="44"/>
          <w:szCs w:val="44"/>
        </w:rPr>
      </w:pPr>
    </w:p>
    <w:p>
      <w:pPr>
        <w:snapToGrid w:val="0"/>
        <w:spacing w:line="360" w:lineRule="auto"/>
        <w:jc w:val="center"/>
        <w:rPr>
          <w:rFonts w:hint="eastAsia" w:ascii="宋体" w:hAnsi="宋体" w:eastAsia="宋体" w:cs="宋体"/>
          <w:b/>
          <w:color w:val="auto"/>
          <w:spacing w:val="170"/>
          <w:kern w:val="0"/>
          <w:sz w:val="84"/>
          <w:szCs w:val="84"/>
        </w:rPr>
      </w:pPr>
      <w:r>
        <w:rPr>
          <w:rFonts w:hint="eastAsia" w:ascii="宋体" w:hAnsi="宋体" w:eastAsia="宋体" w:cs="宋体"/>
          <w:color w:val="auto"/>
        </w:rPr>
        <w:drawing>
          <wp:anchor distT="0" distB="0" distL="114300" distR="114300" simplePos="0" relativeHeight="251682816" behindDoc="1" locked="0" layoutInCell="0" allowOverlap="1">
            <wp:simplePos x="0" y="0"/>
            <wp:positionH relativeFrom="margin">
              <wp:posOffset>-69215</wp:posOffset>
            </wp:positionH>
            <wp:positionV relativeFrom="margin">
              <wp:posOffset>1851025</wp:posOffset>
            </wp:positionV>
            <wp:extent cx="5401310" cy="5401310"/>
            <wp:effectExtent l="0" t="0" r="8890" b="8890"/>
            <wp:wrapNone/>
            <wp:docPr id="1"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3" descr="标志"/>
                    <pic:cNvPicPr>
                      <a:picLocks noChangeAspect="1"/>
                    </pic:cNvPicPr>
                  </pic:nvPicPr>
                  <pic:blipFill>
                    <a:blip r:embed="rId9" cstate="print">
                      <a:lum bright="70001" contrast="-70000"/>
                    </a:blip>
                    <a:stretch>
                      <a:fillRect/>
                    </a:stretch>
                  </pic:blipFill>
                  <pic:spPr>
                    <a:xfrm>
                      <a:off x="0" y="0"/>
                      <a:ext cx="5401310" cy="5401310"/>
                    </a:xfrm>
                    <a:prstGeom prst="rect">
                      <a:avLst/>
                    </a:prstGeom>
                    <a:noFill/>
                    <a:ln>
                      <a:noFill/>
                    </a:ln>
                  </pic:spPr>
                </pic:pic>
              </a:graphicData>
            </a:graphic>
          </wp:anchor>
        </w:drawing>
      </w:r>
    </w:p>
    <w:p>
      <w:pPr>
        <w:snapToGrid w:val="0"/>
        <w:spacing w:line="360" w:lineRule="auto"/>
        <w:jc w:val="center"/>
        <w:rPr>
          <w:rFonts w:hint="eastAsia" w:ascii="宋体" w:hAnsi="宋体" w:eastAsia="宋体" w:cs="宋体"/>
          <w:b/>
          <w:color w:val="auto"/>
          <w:spacing w:val="170"/>
          <w:kern w:val="0"/>
          <w:sz w:val="84"/>
          <w:szCs w:val="84"/>
        </w:rPr>
      </w:pPr>
      <w:r>
        <w:rPr>
          <w:rFonts w:hint="eastAsia" w:ascii="宋体" w:hAnsi="宋体" w:eastAsia="宋体" w:cs="宋体"/>
          <w:b/>
          <w:color w:val="auto"/>
          <w:spacing w:val="170"/>
          <w:kern w:val="0"/>
          <w:sz w:val="84"/>
          <w:szCs w:val="84"/>
        </w:rPr>
        <w:t>竞争性谈判</w:t>
      </w:r>
      <w:r>
        <w:rPr>
          <w:rFonts w:hint="eastAsia" w:ascii="宋体" w:hAnsi="宋体" w:eastAsia="宋体" w:cs="宋体"/>
          <w:b/>
          <w:color w:val="auto"/>
          <w:spacing w:val="170"/>
          <w:sz w:val="84"/>
          <w:szCs w:val="84"/>
        </w:rPr>
        <w:t>文件</w:t>
      </w:r>
    </w:p>
    <w:p>
      <w:pPr>
        <w:tabs>
          <w:tab w:val="left" w:pos="2450"/>
        </w:tabs>
        <w:spacing w:line="680" w:lineRule="exact"/>
        <w:rPr>
          <w:rFonts w:hint="eastAsia" w:ascii="宋体" w:hAnsi="宋体" w:eastAsia="宋体" w:cs="宋体"/>
          <w:color w:val="auto"/>
          <w:sz w:val="44"/>
          <w:szCs w:val="44"/>
        </w:rPr>
      </w:pPr>
      <w:r>
        <w:rPr>
          <w:rFonts w:hint="eastAsia" w:ascii="宋体" w:hAnsi="宋体" w:eastAsia="宋体" w:cs="宋体"/>
          <w:color w:val="auto"/>
          <w:sz w:val="44"/>
          <w:szCs w:val="44"/>
        </w:rPr>
        <w:tab/>
      </w:r>
    </w:p>
    <w:p>
      <w:pPr>
        <w:adjustRightInd w:val="0"/>
        <w:snapToGrid w:val="0"/>
        <w:spacing w:line="800" w:lineRule="exact"/>
        <w:rPr>
          <w:rFonts w:hint="eastAsia" w:ascii="宋体" w:hAnsi="宋体" w:eastAsia="宋体" w:cs="宋体"/>
          <w:color w:val="auto"/>
          <w:sz w:val="44"/>
          <w:szCs w:val="44"/>
        </w:rPr>
      </w:pPr>
    </w:p>
    <w:p>
      <w:pPr>
        <w:adjustRightInd w:val="0"/>
        <w:snapToGrid w:val="0"/>
        <w:spacing w:line="800" w:lineRule="exact"/>
        <w:ind w:left="0" w:leftChars="0" w:firstLine="840" w:firstLineChars="300"/>
        <w:rPr>
          <w:rFonts w:hint="eastAsia" w:ascii="宋体" w:hAnsi="宋体" w:eastAsia="宋体" w:cs="宋体"/>
          <w:bCs/>
          <w:color w:val="auto"/>
          <w:sz w:val="28"/>
          <w:szCs w:val="32"/>
          <w:highlight w:val="none"/>
        </w:rPr>
      </w:pPr>
      <w:r>
        <w:rPr>
          <w:rFonts w:hint="eastAsia" w:ascii="宋体" w:hAnsi="宋体" w:eastAsia="宋体" w:cs="宋体"/>
          <w:bCs/>
          <w:color w:val="auto"/>
          <w:sz w:val="28"/>
          <w:szCs w:val="32"/>
        </w:rPr>
        <w:t>采购项目编号</w:t>
      </w:r>
      <w:r>
        <w:rPr>
          <w:rFonts w:hint="eastAsia" w:ascii="宋体" w:hAnsi="宋体" w:eastAsia="宋体" w:cs="宋体"/>
          <w:bCs/>
          <w:color w:val="auto"/>
          <w:sz w:val="28"/>
          <w:szCs w:val="32"/>
          <w:highlight w:val="none"/>
        </w:rPr>
        <w:t>：CT-SJ-2020065</w:t>
      </w:r>
    </w:p>
    <w:p>
      <w:pPr>
        <w:adjustRightInd w:val="0"/>
        <w:snapToGrid w:val="0"/>
        <w:spacing w:line="800" w:lineRule="exact"/>
        <w:ind w:left="0" w:leftChars="0" w:firstLine="840" w:firstLineChars="300"/>
        <w:rPr>
          <w:rFonts w:hint="eastAsia" w:ascii="宋体" w:hAnsi="宋体" w:eastAsia="宋体" w:cs="宋体"/>
          <w:bCs/>
          <w:color w:val="auto"/>
          <w:sz w:val="28"/>
          <w:szCs w:val="32"/>
          <w:lang w:eastAsia="zh-CN"/>
        </w:rPr>
      </w:pPr>
      <w:r>
        <w:rPr>
          <w:rFonts w:hint="eastAsia" w:ascii="宋体" w:hAnsi="宋体" w:eastAsia="宋体" w:cs="宋体"/>
          <w:bCs/>
          <w:color w:val="auto"/>
          <w:sz w:val="28"/>
          <w:szCs w:val="32"/>
        </w:rPr>
        <w:t>采购项目名称：基层规范化建设物资装备</w:t>
      </w:r>
      <w:r>
        <w:rPr>
          <w:rFonts w:hint="eastAsia" w:ascii="宋体" w:hAnsi="宋体" w:eastAsia="宋体" w:cs="宋体"/>
          <w:bCs/>
          <w:color w:val="auto"/>
          <w:sz w:val="28"/>
          <w:szCs w:val="32"/>
          <w:lang w:eastAsia="zh-CN"/>
        </w:rPr>
        <w:t>采购项目</w:t>
      </w:r>
    </w:p>
    <w:p>
      <w:pPr>
        <w:adjustRightInd w:val="0"/>
        <w:snapToGrid w:val="0"/>
        <w:spacing w:line="800" w:lineRule="exact"/>
        <w:ind w:left="0" w:leftChars="0" w:firstLine="839" w:firstLineChars="247"/>
        <w:rPr>
          <w:rFonts w:hint="eastAsia" w:ascii="宋体" w:hAnsi="宋体" w:eastAsia="宋体" w:cs="宋体"/>
          <w:bCs/>
          <w:color w:val="auto"/>
          <w:sz w:val="28"/>
          <w:szCs w:val="32"/>
        </w:rPr>
      </w:pPr>
      <w:r>
        <w:rPr>
          <w:rFonts w:hint="eastAsia" w:ascii="宋体" w:hAnsi="宋体" w:eastAsia="宋体" w:cs="宋体"/>
          <w:bCs/>
          <w:color w:val="auto"/>
          <w:spacing w:val="30"/>
          <w:sz w:val="28"/>
          <w:szCs w:val="32"/>
        </w:rPr>
        <w:t>采购人名</w:t>
      </w:r>
      <w:r>
        <w:rPr>
          <w:rFonts w:hint="eastAsia" w:ascii="宋体" w:hAnsi="宋体" w:eastAsia="宋体" w:cs="宋体"/>
          <w:bCs/>
          <w:color w:val="auto"/>
          <w:sz w:val="28"/>
          <w:szCs w:val="32"/>
        </w:rPr>
        <w:t>称：</w:t>
      </w:r>
      <w:r>
        <w:rPr>
          <w:rFonts w:hint="eastAsia" w:ascii="宋体" w:hAnsi="宋体" w:cs="宋体"/>
          <w:bCs/>
          <w:color w:val="auto"/>
          <w:sz w:val="28"/>
          <w:szCs w:val="32"/>
          <w:lang w:eastAsia="zh-CN"/>
        </w:rPr>
        <w:t>常州市钟楼区</w:t>
      </w:r>
      <w:r>
        <w:rPr>
          <w:rFonts w:hint="eastAsia" w:ascii="宋体" w:hAnsi="宋体" w:eastAsia="宋体" w:cs="宋体"/>
          <w:bCs/>
          <w:color w:val="auto"/>
          <w:sz w:val="28"/>
          <w:szCs w:val="32"/>
        </w:rPr>
        <w:t>北港街道</w:t>
      </w:r>
      <w:r>
        <w:rPr>
          <w:rFonts w:hint="eastAsia" w:ascii="宋体" w:hAnsi="宋体" w:cs="宋体"/>
          <w:bCs/>
          <w:color w:val="auto"/>
          <w:sz w:val="28"/>
          <w:szCs w:val="32"/>
          <w:lang w:eastAsia="zh-CN"/>
        </w:rPr>
        <w:t>办事处（</w:t>
      </w:r>
      <w:r>
        <w:rPr>
          <w:rFonts w:hint="eastAsia" w:ascii="宋体" w:hAnsi="宋体" w:eastAsia="宋体" w:cs="宋体"/>
          <w:bCs/>
          <w:color w:val="auto"/>
          <w:sz w:val="28"/>
          <w:szCs w:val="32"/>
        </w:rPr>
        <w:t>人民武装部</w:t>
      </w:r>
      <w:r>
        <w:rPr>
          <w:rFonts w:hint="eastAsia" w:ascii="宋体" w:hAnsi="宋体" w:cs="宋体"/>
          <w:bCs/>
          <w:color w:val="auto"/>
          <w:sz w:val="28"/>
          <w:szCs w:val="32"/>
          <w:lang w:eastAsia="zh-CN"/>
        </w:rPr>
        <w:t>）</w:t>
      </w:r>
    </w:p>
    <w:p>
      <w:pPr>
        <w:spacing w:line="680" w:lineRule="exact"/>
        <w:jc w:val="center"/>
        <w:rPr>
          <w:rFonts w:hint="eastAsia" w:ascii="宋体" w:hAnsi="宋体" w:eastAsia="宋体" w:cs="宋体"/>
          <w:color w:val="auto"/>
          <w:sz w:val="44"/>
          <w:szCs w:val="44"/>
        </w:rPr>
      </w:pPr>
    </w:p>
    <w:p>
      <w:pPr>
        <w:spacing w:line="680" w:lineRule="exact"/>
        <w:jc w:val="center"/>
        <w:rPr>
          <w:rFonts w:hint="eastAsia" w:ascii="宋体" w:hAnsi="宋体" w:eastAsia="宋体" w:cs="宋体"/>
          <w:color w:val="auto"/>
          <w:sz w:val="44"/>
          <w:szCs w:val="44"/>
        </w:rPr>
      </w:pPr>
    </w:p>
    <w:p>
      <w:pPr>
        <w:spacing w:line="480" w:lineRule="exact"/>
        <w:ind w:firstLine="750" w:firstLineChars="250"/>
        <w:jc w:val="center"/>
        <w:rPr>
          <w:rFonts w:hint="eastAsia" w:ascii="宋体" w:hAnsi="宋体" w:eastAsia="宋体" w:cs="宋体"/>
          <w:color w:val="auto"/>
          <w:sz w:val="30"/>
          <w:szCs w:val="30"/>
        </w:rPr>
      </w:pPr>
    </w:p>
    <w:p>
      <w:pPr>
        <w:spacing w:line="480" w:lineRule="exact"/>
        <w:jc w:val="center"/>
        <w:rPr>
          <w:rFonts w:hint="eastAsia" w:ascii="宋体" w:hAnsi="宋体" w:eastAsia="宋体" w:cs="宋体"/>
          <w:color w:val="auto"/>
          <w:sz w:val="36"/>
          <w:szCs w:val="36"/>
        </w:rPr>
      </w:pPr>
    </w:p>
    <w:p>
      <w:pPr>
        <w:spacing w:line="480" w:lineRule="exact"/>
        <w:jc w:val="center"/>
        <w:rPr>
          <w:rFonts w:hint="eastAsia" w:ascii="宋体" w:hAnsi="宋体" w:eastAsia="宋体" w:cs="宋体"/>
          <w:color w:val="auto"/>
          <w:sz w:val="36"/>
          <w:szCs w:val="36"/>
        </w:rPr>
      </w:pPr>
      <w:r>
        <w:rPr>
          <w:rFonts w:hint="eastAsia" w:ascii="宋体" w:hAnsi="宋体" w:eastAsia="宋体" w:cs="宋体"/>
          <w:color w:val="auto"/>
          <w:sz w:val="36"/>
          <w:szCs w:val="36"/>
        </w:rPr>
        <w:t>常州市城投建设工程招标有限公司</w:t>
      </w:r>
    </w:p>
    <w:p>
      <w:pPr>
        <w:jc w:val="center"/>
        <w:rPr>
          <w:rFonts w:hint="eastAsia" w:ascii="宋体" w:hAnsi="宋体" w:eastAsia="宋体" w:cs="宋体"/>
          <w:color w:val="auto"/>
          <w:sz w:val="36"/>
          <w:szCs w:val="36"/>
        </w:rPr>
      </w:pPr>
    </w:p>
    <w:p>
      <w:pPr>
        <w:spacing w:before="100" w:after="240" w:line="500" w:lineRule="exact"/>
        <w:jc w:val="center"/>
        <w:rPr>
          <w:rFonts w:hint="eastAsia" w:ascii="宋体" w:hAnsi="宋体" w:eastAsia="宋体" w:cs="宋体"/>
          <w:b/>
          <w:color w:val="auto"/>
          <w:sz w:val="44"/>
          <w:szCs w:val="44"/>
        </w:rPr>
      </w:pPr>
      <w:r>
        <w:rPr>
          <w:rFonts w:hint="eastAsia" w:ascii="宋体" w:hAnsi="宋体" w:eastAsia="宋体" w:cs="宋体"/>
          <w:color w:val="auto"/>
          <w:w w:val="90"/>
          <w:sz w:val="44"/>
          <w:szCs w:val="44"/>
        </w:rPr>
        <w:t>二〇二〇年</w:t>
      </w:r>
      <w:r>
        <w:rPr>
          <w:rFonts w:hint="eastAsia" w:ascii="宋体" w:hAnsi="宋体" w:eastAsia="宋体" w:cs="宋体"/>
          <w:color w:val="auto"/>
          <w:w w:val="90"/>
          <w:sz w:val="44"/>
          <w:szCs w:val="44"/>
          <w:lang w:eastAsia="zh-CN"/>
        </w:rPr>
        <w:t>九</w:t>
      </w:r>
      <w:r>
        <w:rPr>
          <w:rFonts w:hint="eastAsia" w:ascii="宋体" w:hAnsi="宋体" w:eastAsia="宋体" w:cs="宋体"/>
          <w:color w:val="auto"/>
          <w:w w:val="90"/>
          <w:sz w:val="44"/>
          <w:szCs w:val="44"/>
        </w:rPr>
        <w:t>月</w:t>
      </w:r>
    </w:p>
    <w:p>
      <w:pPr>
        <w:spacing w:before="100" w:after="240" w:line="500" w:lineRule="exact"/>
        <w:jc w:val="center"/>
        <w:rPr>
          <w:rFonts w:hint="eastAsia" w:ascii="宋体" w:hAnsi="宋体" w:eastAsia="宋体" w:cs="宋体"/>
          <w:b/>
          <w:color w:val="auto"/>
          <w:sz w:val="44"/>
          <w:szCs w:val="44"/>
        </w:rPr>
      </w:pPr>
    </w:p>
    <w:sdt>
      <w:sdtPr>
        <w:rPr>
          <w:rFonts w:hint="eastAsia" w:ascii="宋体" w:hAnsi="宋体" w:eastAsia="宋体" w:cs="宋体"/>
          <w:b w:val="0"/>
          <w:bCs w:val="0"/>
          <w:color w:val="auto"/>
          <w:kern w:val="2"/>
          <w:sz w:val="21"/>
          <w:szCs w:val="20"/>
          <w:lang w:val="zh-CN"/>
        </w:rPr>
        <w:id w:val="25038988"/>
        <w:docPartObj>
          <w:docPartGallery w:val="Table of Contents"/>
          <w:docPartUnique/>
        </w:docPartObj>
      </w:sdtPr>
      <w:sdtEndPr>
        <w:rPr>
          <w:rFonts w:hint="eastAsia" w:ascii="宋体" w:hAnsi="宋体" w:eastAsia="宋体" w:cs="宋体"/>
          <w:b w:val="0"/>
          <w:bCs w:val="0"/>
          <w:color w:val="auto"/>
          <w:kern w:val="2"/>
          <w:sz w:val="21"/>
          <w:szCs w:val="20"/>
          <w:lang w:val="en-US"/>
        </w:rPr>
      </w:sdtEndPr>
      <w:sdtContent>
        <w:p>
          <w:pPr>
            <w:pStyle w:val="60"/>
            <w:jc w:val="center"/>
            <w:rPr>
              <w:rFonts w:hint="eastAsia" w:ascii="宋体" w:hAnsi="宋体" w:eastAsia="宋体" w:cs="宋体"/>
              <w:b w:val="0"/>
              <w:bCs w:val="0"/>
              <w:color w:val="auto"/>
              <w:kern w:val="2"/>
              <w:sz w:val="21"/>
              <w:szCs w:val="20"/>
              <w:lang w:val="zh-CN"/>
            </w:rPr>
          </w:pPr>
        </w:p>
        <w:p>
          <w:pPr>
            <w:pStyle w:val="60"/>
            <w:jc w:val="center"/>
            <w:rPr>
              <w:rFonts w:hint="eastAsia" w:ascii="宋体" w:hAnsi="宋体" w:eastAsia="宋体" w:cs="宋体"/>
              <w:color w:val="auto"/>
            </w:rPr>
          </w:pPr>
          <w:r>
            <w:rPr>
              <w:rFonts w:hint="eastAsia" w:ascii="宋体" w:hAnsi="宋体" w:eastAsia="宋体" w:cs="宋体"/>
              <w:color w:val="auto"/>
              <w:sz w:val="44"/>
              <w:szCs w:val="44"/>
              <w:lang w:val="zh-CN"/>
            </w:rPr>
            <w:t>目  录</w:t>
          </w:r>
        </w:p>
        <w:p>
          <w:pPr>
            <w:pStyle w:val="17"/>
            <w:tabs>
              <w:tab w:val="right" w:leader="dot" w:pos="8302"/>
            </w:tabs>
            <w:spacing w:line="720" w:lineRule="auto"/>
            <w:rPr>
              <w:rFonts w:hint="eastAsia" w:ascii="宋体" w:hAnsi="宋体" w:eastAsia="宋体" w:cs="宋体"/>
              <w:b/>
              <w:color w:val="auto"/>
              <w:sz w:val="32"/>
              <w:szCs w:val="32"/>
            </w:rPr>
          </w:pPr>
        </w:p>
        <w:p>
          <w:pPr>
            <w:pStyle w:val="17"/>
            <w:tabs>
              <w:tab w:val="right" w:leader="dot" w:pos="8302"/>
            </w:tabs>
            <w:spacing w:line="720" w:lineRule="auto"/>
            <w:rPr>
              <w:rFonts w:hint="eastAsia" w:ascii="宋体" w:hAnsi="宋体" w:eastAsia="宋体" w:cs="宋体"/>
              <w:b/>
              <w:color w:val="auto"/>
              <w:sz w:val="32"/>
              <w:szCs w:val="32"/>
            </w:rPr>
          </w:pPr>
          <w:r>
            <w:rPr>
              <w:rFonts w:hint="eastAsia" w:ascii="宋体" w:hAnsi="宋体" w:eastAsia="宋体" w:cs="宋体"/>
              <w:b/>
              <w:color w:val="auto"/>
              <w:sz w:val="32"/>
              <w:szCs w:val="32"/>
            </w:rPr>
            <w:fldChar w:fldCharType="begin"/>
          </w:r>
          <w:r>
            <w:rPr>
              <w:rFonts w:hint="eastAsia" w:ascii="宋体" w:hAnsi="宋体" w:eastAsia="宋体" w:cs="宋体"/>
              <w:b/>
              <w:color w:val="auto"/>
              <w:sz w:val="32"/>
              <w:szCs w:val="32"/>
            </w:rPr>
            <w:instrText xml:space="preserve"> TOC \o "1-3" \h \z \u </w:instrText>
          </w:r>
          <w:r>
            <w:rPr>
              <w:rFonts w:hint="eastAsia" w:ascii="宋体" w:hAnsi="宋体" w:eastAsia="宋体" w:cs="宋体"/>
              <w:b/>
              <w:color w:val="auto"/>
              <w:sz w:val="32"/>
              <w:szCs w:val="32"/>
            </w:rPr>
            <w:fldChar w:fldCharType="separate"/>
          </w: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"_Toc17536924" </w:instrText>
          </w:r>
          <w:r>
            <w:rPr>
              <w:rFonts w:hint="eastAsia" w:ascii="宋体" w:hAnsi="宋体" w:eastAsia="宋体" w:cs="宋体"/>
              <w:color w:val="auto"/>
            </w:rPr>
            <w:fldChar w:fldCharType="separate"/>
          </w:r>
          <w:r>
            <w:rPr>
              <w:rStyle w:val="25"/>
              <w:rFonts w:hint="eastAsia" w:ascii="宋体" w:hAnsi="宋体" w:eastAsia="宋体" w:cs="宋体"/>
              <w:b/>
              <w:color w:val="auto"/>
              <w:sz w:val="32"/>
              <w:szCs w:val="32"/>
            </w:rPr>
            <w:t>竞争性谈判公告</w:t>
          </w:r>
          <w:r>
            <w:rPr>
              <w:rFonts w:hint="eastAsia" w:ascii="宋体" w:hAnsi="宋体" w:eastAsia="宋体" w:cs="宋体"/>
              <w:b/>
              <w:color w:val="auto"/>
              <w:sz w:val="32"/>
              <w:szCs w:val="32"/>
            </w:rPr>
            <w:tab/>
          </w:r>
          <w:r>
            <w:rPr>
              <w:rFonts w:hint="eastAsia" w:ascii="宋体" w:hAnsi="宋体" w:eastAsia="宋体" w:cs="宋体"/>
              <w:b/>
              <w:color w:val="auto"/>
              <w:sz w:val="32"/>
              <w:szCs w:val="32"/>
            </w:rPr>
            <w:fldChar w:fldCharType="begin"/>
          </w:r>
          <w:r>
            <w:rPr>
              <w:rFonts w:hint="eastAsia" w:ascii="宋体" w:hAnsi="宋体" w:eastAsia="宋体" w:cs="宋体"/>
              <w:b/>
              <w:color w:val="auto"/>
              <w:sz w:val="32"/>
              <w:szCs w:val="32"/>
            </w:rPr>
            <w:instrText xml:space="preserve"> PAGEREF _Toc17536924 \h </w:instrText>
          </w:r>
          <w:r>
            <w:rPr>
              <w:rFonts w:hint="eastAsia" w:ascii="宋体" w:hAnsi="宋体" w:eastAsia="宋体" w:cs="宋体"/>
              <w:b/>
              <w:color w:val="auto"/>
              <w:sz w:val="32"/>
              <w:szCs w:val="32"/>
            </w:rPr>
            <w:fldChar w:fldCharType="separate"/>
          </w:r>
          <w:r>
            <w:rPr>
              <w:rFonts w:hint="eastAsia" w:ascii="宋体" w:hAnsi="宋体" w:eastAsia="宋体" w:cs="宋体"/>
              <w:b/>
              <w:color w:val="auto"/>
              <w:sz w:val="32"/>
              <w:szCs w:val="32"/>
            </w:rPr>
            <w:t>3</w:t>
          </w:r>
          <w:r>
            <w:rPr>
              <w:rFonts w:hint="eastAsia" w:ascii="宋体" w:hAnsi="宋体" w:eastAsia="宋体" w:cs="宋体"/>
              <w:b/>
              <w:color w:val="auto"/>
              <w:sz w:val="32"/>
              <w:szCs w:val="32"/>
            </w:rPr>
            <w:fldChar w:fldCharType="end"/>
          </w:r>
          <w:r>
            <w:rPr>
              <w:rFonts w:hint="eastAsia" w:ascii="宋体" w:hAnsi="宋体" w:eastAsia="宋体" w:cs="宋体"/>
              <w:b/>
              <w:color w:val="auto"/>
              <w:sz w:val="32"/>
              <w:szCs w:val="32"/>
            </w:rPr>
            <w:fldChar w:fldCharType="end"/>
          </w:r>
        </w:p>
        <w:p>
          <w:pPr>
            <w:pStyle w:val="17"/>
            <w:tabs>
              <w:tab w:val="right" w:leader="dot" w:pos="8302"/>
            </w:tabs>
            <w:spacing w:line="720" w:lineRule="auto"/>
            <w:rPr>
              <w:rFonts w:hint="eastAsia" w:ascii="宋体" w:hAnsi="宋体" w:eastAsia="宋体" w:cs="宋体"/>
              <w:b/>
              <w:color w:val="auto"/>
              <w:sz w:val="32"/>
              <w:szCs w:val="3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"_Toc17536925" </w:instrText>
          </w:r>
          <w:r>
            <w:rPr>
              <w:rFonts w:hint="eastAsia" w:ascii="宋体" w:hAnsi="宋体" w:eastAsia="宋体" w:cs="宋体"/>
              <w:color w:val="auto"/>
            </w:rPr>
            <w:fldChar w:fldCharType="separate"/>
          </w:r>
          <w:r>
            <w:rPr>
              <w:rStyle w:val="25"/>
              <w:rFonts w:hint="eastAsia" w:ascii="宋体" w:hAnsi="宋体" w:eastAsia="宋体" w:cs="宋体"/>
              <w:b/>
              <w:color w:val="auto"/>
              <w:sz w:val="32"/>
              <w:szCs w:val="32"/>
            </w:rPr>
            <w:t>第一章  总    则</w:t>
          </w:r>
          <w:r>
            <w:rPr>
              <w:rFonts w:hint="eastAsia" w:ascii="宋体" w:hAnsi="宋体" w:eastAsia="宋体" w:cs="宋体"/>
              <w:b/>
              <w:color w:val="auto"/>
              <w:sz w:val="32"/>
              <w:szCs w:val="32"/>
            </w:rPr>
            <w:tab/>
          </w:r>
          <w:r>
            <w:rPr>
              <w:rFonts w:hint="eastAsia" w:ascii="宋体" w:hAnsi="宋体" w:eastAsia="宋体" w:cs="宋体"/>
              <w:b/>
              <w:color w:val="auto"/>
              <w:sz w:val="32"/>
              <w:szCs w:val="32"/>
            </w:rPr>
            <w:fldChar w:fldCharType="begin"/>
          </w:r>
          <w:r>
            <w:rPr>
              <w:rFonts w:hint="eastAsia" w:ascii="宋体" w:hAnsi="宋体" w:eastAsia="宋体" w:cs="宋体"/>
              <w:b/>
              <w:color w:val="auto"/>
              <w:sz w:val="32"/>
              <w:szCs w:val="32"/>
            </w:rPr>
            <w:instrText xml:space="preserve"> PAGEREF _Toc17536925 \h </w:instrText>
          </w:r>
          <w:r>
            <w:rPr>
              <w:rFonts w:hint="eastAsia" w:ascii="宋体" w:hAnsi="宋体" w:eastAsia="宋体" w:cs="宋体"/>
              <w:b/>
              <w:color w:val="auto"/>
              <w:sz w:val="32"/>
              <w:szCs w:val="32"/>
            </w:rPr>
            <w:fldChar w:fldCharType="separate"/>
          </w:r>
          <w:r>
            <w:rPr>
              <w:rFonts w:hint="eastAsia" w:ascii="宋体" w:hAnsi="宋体" w:eastAsia="宋体" w:cs="宋体"/>
              <w:b/>
              <w:color w:val="auto"/>
              <w:sz w:val="32"/>
              <w:szCs w:val="32"/>
            </w:rPr>
            <w:t>6</w:t>
          </w:r>
          <w:r>
            <w:rPr>
              <w:rFonts w:hint="eastAsia" w:ascii="宋体" w:hAnsi="宋体" w:eastAsia="宋体" w:cs="宋体"/>
              <w:b/>
              <w:color w:val="auto"/>
              <w:sz w:val="32"/>
              <w:szCs w:val="32"/>
            </w:rPr>
            <w:fldChar w:fldCharType="end"/>
          </w:r>
          <w:r>
            <w:rPr>
              <w:rFonts w:hint="eastAsia" w:ascii="宋体" w:hAnsi="宋体" w:eastAsia="宋体" w:cs="宋体"/>
              <w:b/>
              <w:color w:val="auto"/>
              <w:sz w:val="32"/>
              <w:szCs w:val="32"/>
            </w:rPr>
            <w:fldChar w:fldCharType="end"/>
          </w:r>
        </w:p>
        <w:p>
          <w:pPr>
            <w:pStyle w:val="17"/>
            <w:tabs>
              <w:tab w:val="right" w:leader="dot" w:pos="8302"/>
            </w:tabs>
            <w:spacing w:line="720" w:lineRule="auto"/>
            <w:rPr>
              <w:rFonts w:hint="eastAsia" w:ascii="宋体" w:hAnsi="宋体" w:eastAsia="宋体" w:cs="宋体"/>
              <w:b/>
              <w:color w:val="auto"/>
              <w:sz w:val="32"/>
              <w:szCs w:val="3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"_Toc17536926" </w:instrText>
          </w:r>
          <w:r>
            <w:rPr>
              <w:rFonts w:hint="eastAsia" w:ascii="宋体" w:hAnsi="宋体" w:eastAsia="宋体" w:cs="宋体"/>
              <w:color w:val="auto"/>
            </w:rPr>
            <w:fldChar w:fldCharType="separate"/>
          </w:r>
          <w:r>
            <w:rPr>
              <w:rStyle w:val="25"/>
              <w:rFonts w:hint="eastAsia" w:ascii="宋体" w:hAnsi="宋体" w:eastAsia="宋体" w:cs="宋体"/>
              <w:b/>
              <w:color w:val="auto"/>
              <w:sz w:val="32"/>
              <w:szCs w:val="32"/>
            </w:rPr>
            <w:t>第二章  采购项目及技术要求</w:t>
          </w:r>
          <w:r>
            <w:rPr>
              <w:rFonts w:hint="eastAsia" w:ascii="宋体" w:hAnsi="宋体" w:eastAsia="宋体" w:cs="宋体"/>
              <w:b/>
              <w:color w:val="auto"/>
              <w:sz w:val="32"/>
              <w:szCs w:val="32"/>
            </w:rPr>
            <w:tab/>
          </w:r>
          <w:r>
            <w:rPr>
              <w:rFonts w:hint="eastAsia" w:ascii="宋体" w:hAnsi="宋体" w:eastAsia="宋体" w:cs="宋体"/>
              <w:b/>
              <w:color w:val="auto"/>
              <w:sz w:val="32"/>
              <w:szCs w:val="32"/>
            </w:rPr>
            <w:fldChar w:fldCharType="begin"/>
          </w:r>
          <w:r>
            <w:rPr>
              <w:rFonts w:hint="eastAsia" w:ascii="宋体" w:hAnsi="宋体" w:eastAsia="宋体" w:cs="宋体"/>
              <w:b/>
              <w:color w:val="auto"/>
              <w:sz w:val="32"/>
              <w:szCs w:val="32"/>
            </w:rPr>
            <w:instrText xml:space="preserve"> PAGEREF _Toc17536926 \h </w:instrText>
          </w:r>
          <w:r>
            <w:rPr>
              <w:rFonts w:hint="eastAsia" w:ascii="宋体" w:hAnsi="宋体" w:eastAsia="宋体" w:cs="宋体"/>
              <w:b/>
              <w:color w:val="auto"/>
              <w:sz w:val="32"/>
              <w:szCs w:val="32"/>
            </w:rPr>
            <w:fldChar w:fldCharType="separate"/>
          </w:r>
          <w:r>
            <w:rPr>
              <w:rFonts w:hint="eastAsia" w:ascii="宋体" w:hAnsi="宋体" w:eastAsia="宋体" w:cs="宋体"/>
              <w:b/>
              <w:color w:val="auto"/>
              <w:sz w:val="32"/>
              <w:szCs w:val="32"/>
            </w:rPr>
            <w:t>14</w:t>
          </w:r>
          <w:r>
            <w:rPr>
              <w:rFonts w:hint="eastAsia" w:ascii="宋体" w:hAnsi="宋体" w:eastAsia="宋体" w:cs="宋体"/>
              <w:b/>
              <w:color w:val="auto"/>
              <w:sz w:val="32"/>
              <w:szCs w:val="32"/>
            </w:rPr>
            <w:fldChar w:fldCharType="end"/>
          </w:r>
          <w:r>
            <w:rPr>
              <w:rFonts w:hint="eastAsia" w:ascii="宋体" w:hAnsi="宋体" w:eastAsia="宋体" w:cs="宋体"/>
              <w:b/>
              <w:color w:val="auto"/>
              <w:sz w:val="32"/>
              <w:szCs w:val="32"/>
            </w:rPr>
            <w:fldChar w:fldCharType="end"/>
          </w:r>
        </w:p>
        <w:p>
          <w:pPr>
            <w:pStyle w:val="17"/>
            <w:tabs>
              <w:tab w:val="right" w:leader="dot" w:pos="8302"/>
            </w:tabs>
            <w:spacing w:line="720" w:lineRule="auto"/>
            <w:rPr>
              <w:rFonts w:hint="eastAsia" w:ascii="宋体" w:hAnsi="宋体" w:eastAsia="宋体" w:cs="宋体"/>
              <w:b/>
              <w:color w:val="auto"/>
              <w:sz w:val="32"/>
              <w:szCs w:val="3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"_Toc17536927" </w:instrText>
          </w:r>
          <w:r>
            <w:rPr>
              <w:rFonts w:hint="eastAsia" w:ascii="宋体" w:hAnsi="宋体" w:eastAsia="宋体" w:cs="宋体"/>
              <w:color w:val="auto"/>
            </w:rPr>
            <w:fldChar w:fldCharType="separate"/>
          </w:r>
          <w:r>
            <w:rPr>
              <w:rStyle w:val="25"/>
              <w:rFonts w:hint="eastAsia" w:ascii="宋体" w:hAnsi="宋体" w:eastAsia="宋体" w:cs="宋体"/>
              <w:b/>
              <w:color w:val="auto"/>
              <w:sz w:val="32"/>
              <w:szCs w:val="32"/>
            </w:rPr>
            <w:t>第三章  合同主要条款</w:t>
          </w:r>
          <w:r>
            <w:rPr>
              <w:rFonts w:hint="eastAsia" w:ascii="宋体" w:hAnsi="宋体" w:eastAsia="宋体" w:cs="宋体"/>
              <w:b/>
              <w:color w:val="auto"/>
              <w:sz w:val="32"/>
              <w:szCs w:val="32"/>
            </w:rPr>
            <w:tab/>
          </w:r>
          <w:r>
            <w:rPr>
              <w:rFonts w:hint="eastAsia" w:ascii="宋体" w:hAnsi="宋体" w:eastAsia="宋体" w:cs="宋体"/>
              <w:b/>
              <w:color w:val="auto"/>
              <w:sz w:val="32"/>
              <w:szCs w:val="32"/>
            </w:rPr>
            <w:fldChar w:fldCharType="begin"/>
          </w:r>
          <w:r>
            <w:rPr>
              <w:rFonts w:hint="eastAsia" w:ascii="宋体" w:hAnsi="宋体" w:eastAsia="宋体" w:cs="宋体"/>
              <w:b/>
              <w:color w:val="auto"/>
              <w:sz w:val="32"/>
              <w:szCs w:val="32"/>
            </w:rPr>
            <w:instrText xml:space="preserve"> PAGEREF _Toc17536927 \h </w:instrText>
          </w:r>
          <w:r>
            <w:rPr>
              <w:rFonts w:hint="eastAsia" w:ascii="宋体" w:hAnsi="宋体" w:eastAsia="宋体" w:cs="宋体"/>
              <w:b/>
              <w:color w:val="auto"/>
              <w:sz w:val="32"/>
              <w:szCs w:val="32"/>
            </w:rPr>
            <w:fldChar w:fldCharType="separate"/>
          </w:r>
          <w:r>
            <w:rPr>
              <w:rFonts w:hint="eastAsia" w:ascii="宋体" w:hAnsi="宋体" w:eastAsia="宋体" w:cs="宋体"/>
              <w:b/>
              <w:color w:val="auto"/>
              <w:sz w:val="32"/>
              <w:szCs w:val="32"/>
            </w:rPr>
            <w:t>17</w:t>
          </w:r>
          <w:r>
            <w:rPr>
              <w:rFonts w:hint="eastAsia" w:ascii="宋体" w:hAnsi="宋体" w:eastAsia="宋体" w:cs="宋体"/>
              <w:b/>
              <w:color w:val="auto"/>
              <w:sz w:val="32"/>
              <w:szCs w:val="32"/>
            </w:rPr>
            <w:fldChar w:fldCharType="end"/>
          </w:r>
          <w:r>
            <w:rPr>
              <w:rFonts w:hint="eastAsia" w:ascii="宋体" w:hAnsi="宋体" w:eastAsia="宋体" w:cs="宋体"/>
              <w:b/>
              <w:color w:val="auto"/>
              <w:sz w:val="32"/>
              <w:szCs w:val="32"/>
            </w:rPr>
            <w:fldChar w:fldCharType="end"/>
          </w:r>
        </w:p>
        <w:p>
          <w:pPr>
            <w:pStyle w:val="17"/>
            <w:tabs>
              <w:tab w:val="right" w:leader="dot" w:pos="8302"/>
            </w:tabs>
            <w:spacing w:line="720" w:lineRule="auto"/>
            <w:rPr>
              <w:rFonts w:hint="eastAsia" w:ascii="宋体" w:hAnsi="宋体" w:eastAsia="宋体" w:cs="宋体"/>
              <w:b/>
              <w:color w:val="auto"/>
              <w:sz w:val="32"/>
              <w:szCs w:val="3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"_Toc17536928" </w:instrText>
          </w:r>
          <w:r>
            <w:rPr>
              <w:rFonts w:hint="eastAsia" w:ascii="宋体" w:hAnsi="宋体" w:eastAsia="宋体" w:cs="宋体"/>
              <w:color w:val="auto"/>
            </w:rPr>
            <w:fldChar w:fldCharType="separate"/>
          </w:r>
          <w:r>
            <w:rPr>
              <w:rStyle w:val="25"/>
              <w:rFonts w:hint="eastAsia" w:ascii="宋体" w:hAnsi="宋体" w:eastAsia="宋体" w:cs="宋体"/>
              <w:b/>
              <w:color w:val="auto"/>
              <w:sz w:val="32"/>
              <w:szCs w:val="32"/>
            </w:rPr>
            <w:t>第四章  评审细则</w:t>
          </w:r>
          <w:r>
            <w:rPr>
              <w:rFonts w:hint="eastAsia" w:ascii="宋体" w:hAnsi="宋体" w:eastAsia="宋体" w:cs="宋体"/>
              <w:b/>
              <w:color w:val="auto"/>
              <w:sz w:val="32"/>
              <w:szCs w:val="32"/>
            </w:rPr>
            <w:tab/>
          </w:r>
          <w:r>
            <w:rPr>
              <w:rFonts w:hint="eastAsia" w:ascii="宋体" w:hAnsi="宋体" w:eastAsia="宋体" w:cs="宋体"/>
              <w:b/>
              <w:color w:val="auto"/>
              <w:sz w:val="32"/>
              <w:szCs w:val="32"/>
            </w:rPr>
            <w:fldChar w:fldCharType="begin"/>
          </w:r>
          <w:r>
            <w:rPr>
              <w:rFonts w:hint="eastAsia" w:ascii="宋体" w:hAnsi="宋体" w:eastAsia="宋体" w:cs="宋体"/>
              <w:b/>
              <w:color w:val="auto"/>
              <w:sz w:val="32"/>
              <w:szCs w:val="32"/>
            </w:rPr>
            <w:instrText xml:space="preserve"> PAGEREF _Toc17536928 \h </w:instrText>
          </w:r>
          <w:r>
            <w:rPr>
              <w:rFonts w:hint="eastAsia" w:ascii="宋体" w:hAnsi="宋体" w:eastAsia="宋体" w:cs="宋体"/>
              <w:b/>
              <w:color w:val="auto"/>
              <w:sz w:val="32"/>
              <w:szCs w:val="32"/>
            </w:rPr>
            <w:fldChar w:fldCharType="separate"/>
          </w:r>
          <w:r>
            <w:rPr>
              <w:rFonts w:hint="eastAsia" w:ascii="宋体" w:hAnsi="宋体" w:eastAsia="宋体" w:cs="宋体"/>
              <w:b/>
              <w:color w:val="auto"/>
              <w:sz w:val="32"/>
              <w:szCs w:val="32"/>
            </w:rPr>
            <w:t>22</w:t>
          </w:r>
          <w:r>
            <w:rPr>
              <w:rFonts w:hint="eastAsia" w:ascii="宋体" w:hAnsi="宋体" w:eastAsia="宋体" w:cs="宋体"/>
              <w:b/>
              <w:color w:val="auto"/>
              <w:sz w:val="32"/>
              <w:szCs w:val="32"/>
            </w:rPr>
            <w:fldChar w:fldCharType="end"/>
          </w:r>
          <w:r>
            <w:rPr>
              <w:rFonts w:hint="eastAsia" w:ascii="宋体" w:hAnsi="宋体" w:eastAsia="宋体" w:cs="宋体"/>
              <w:b/>
              <w:color w:val="auto"/>
              <w:sz w:val="32"/>
              <w:szCs w:val="32"/>
            </w:rPr>
            <w:fldChar w:fldCharType="end"/>
          </w:r>
        </w:p>
        <w:p>
          <w:pPr>
            <w:pStyle w:val="17"/>
            <w:tabs>
              <w:tab w:val="right" w:leader="dot" w:pos="8302"/>
            </w:tabs>
            <w:spacing w:line="720" w:lineRule="auto"/>
            <w:rPr>
              <w:rFonts w:hint="eastAsia" w:ascii="宋体" w:hAnsi="宋体" w:eastAsia="宋体" w:cs="宋体"/>
              <w:b/>
              <w:color w:val="auto"/>
              <w:sz w:val="32"/>
              <w:szCs w:val="3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"_Toc17536929" </w:instrText>
          </w:r>
          <w:r>
            <w:rPr>
              <w:rFonts w:hint="eastAsia" w:ascii="宋体" w:hAnsi="宋体" w:eastAsia="宋体" w:cs="宋体"/>
              <w:color w:val="auto"/>
            </w:rPr>
            <w:fldChar w:fldCharType="separate"/>
          </w:r>
          <w:r>
            <w:rPr>
              <w:rStyle w:val="25"/>
              <w:rFonts w:hint="eastAsia" w:ascii="宋体" w:hAnsi="宋体" w:eastAsia="宋体" w:cs="宋体"/>
              <w:b/>
              <w:color w:val="auto"/>
              <w:sz w:val="32"/>
              <w:szCs w:val="32"/>
            </w:rPr>
            <w:t>第五章  谈判响应文件的组成</w:t>
          </w:r>
          <w:r>
            <w:rPr>
              <w:rFonts w:hint="eastAsia" w:ascii="宋体" w:hAnsi="宋体" w:eastAsia="宋体" w:cs="宋体"/>
              <w:b/>
              <w:color w:val="auto"/>
              <w:sz w:val="32"/>
              <w:szCs w:val="32"/>
            </w:rPr>
            <w:tab/>
          </w:r>
          <w:r>
            <w:rPr>
              <w:rFonts w:hint="eastAsia" w:ascii="宋体" w:hAnsi="宋体" w:eastAsia="宋体" w:cs="宋体"/>
              <w:b/>
              <w:color w:val="auto"/>
              <w:sz w:val="32"/>
              <w:szCs w:val="32"/>
            </w:rPr>
            <w:fldChar w:fldCharType="begin"/>
          </w:r>
          <w:r>
            <w:rPr>
              <w:rFonts w:hint="eastAsia" w:ascii="宋体" w:hAnsi="宋体" w:eastAsia="宋体" w:cs="宋体"/>
              <w:b/>
              <w:color w:val="auto"/>
              <w:sz w:val="32"/>
              <w:szCs w:val="32"/>
            </w:rPr>
            <w:instrText xml:space="preserve"> PAGEREF _Toc17536929 \h </w:instrText>
          </w:r>
          <w:r>
            <w:rPr>
              <w:rFonts w:hint="eastAsia" w:ascii="宋体" w:hAnsi="宋体" w:eastAsia="宋体" w:cs="宋体"/>
              <w:b/>
              <w:color w:val="auto"/>
              <w:sz w:val="32"/>
              <w:szCs w:val="32"/>
            </w:rPr>
            <w:fldChar w:fldCharType="separate"/>
          </w:r>
          <w:r>
            <w:rPr>
              <w:rFonts w:hint="eastAsia" w:ascii="宋体" w:hAnsi="宋体" w:eastAsia="宋体" w:cs="宋体"/>
              <w:b/>
              <w:color w:val="auto"/>
              <w:sz w:val="32"/>
              <w:szCs w:val="32"/>
            </w:rPr>
            <w:t>23</w:t>
          </w:r>
          <w:r>
            <w:rPr>
              <w:rFonts w:hint="eastAsia" w:ascii="宋体" w:hAnsi="宋体" w:eastAsia="宋体" w:cs="宋体"/>
              <w:b/>
              <w:color w:val="auto"/>
              <w:sz w:val="32"/>
              <w:szCs w:val="32"/>
            </w:rPr>
            <w:fldChar w:fldCharType="end"/>
          </w:r>
          <w:r>
            <w:rPr>
              <w:rFonts w:hint="eastAsia" w:ascii="宋体" w:hAnsi="宋体" w:eastAsia="宋体" w:cs="宋体"/>
              <w:b/>
              <w:color w:val="auto"/>
              <w:sz w:val="32"/>
              <w:szCs w:val="32"/>
            </w:rPr>
            <w:fldChar w:fldCharType="end"/>
          </w:r>
        </w:p>
        <w:p>
          <w:pPr>
            <w:pStyle w:val="17"/>
            <w:tabs>
              <w:tab w:val="right" w:leader="dot" w:pos="8302"/>
            </w:tabs>
            <w:spacing w:line="720" w:lineRule="auto"/>
            <w:rPr>
              <w:rFonts w:hint="eastAsia" w:ascii="宋体" w:hAnsi="宋体" w:eastAsia="宋体" w:cs="宋体"/>
              <w:b/>
              <w:color w:val="auto"/>
              <w:sz w:val="32"/>
              <w:szCs w:val="3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"_Toc17536930" </w:instrText>
          </w:r>
          <w:r>
            <w:rPr>
              <w:rFonts w:hint="eastAsia" w:ascii="宋体" w:hAnsi="宋体" w:eastAsia="宋体" w:cs="宋体"/>
              <w:color w:val="auto"/>
            </w:rPr>
            <w:fldChar w:fldCharType="separate"/>
          </w:r>
          <w:r>
            <w:rPr>
              <w:rStyle w:val="25"/>
              <w:rFonts w:hint="eastAsia" w:ascii="宋体" w:hAnsi="宋体" w:eastAsia="宋体" w:cs="宋体"/>
              <w:b/>
              <w:color w:val="auto"/>
              <w:sz w:val="32"/>
              <w:szCs w:val="32"/>
            </w:rPr>
            <w:t>第六章  附    件</w:t>
          </w:r>
          <w:r>
            <w:rPr>
              <w:rFonts w:hint="eastAsia" w:ascii="宋体" w:hAnsi="宋体" w:eastAsia="宋体" w:cs="宋体"/>
              <w:b/>
              <w:color w:val="auto"/>
              <w:sz w:val="32"/>
              <w:szCs w:val="32"/>
            </w:rPr>
            <w:tab/>
          </w:r>
          <w:r>
            <w:rPr>
              <w:rFonts w:hint="eastAsia" w:ascii="宋体" w:hAnsi="宋体" w:eastAsia="宋体" w:cs="宋体"/>
              <w:b/>
              <w:color w:val="auto"/>
              <w:sz w:val="32"/>
              <w:szCs w:val="32"/>
            </w:rPr>
            <w:fldChar w:fldCharType="begin"/>
          </w:r>
          <w:r>
            <w:rPr>
              <w:rFonts w:hint="eastAsia" w:ascii="宋体" w:hAnsi="宋体" w:eastAsia="宋体" w:cs="宋体"/>
              <w:b/>
              <w:color w:val="auto"/>
              <w:sz w:val="32"/>
              <w:szCs w:val="32"/>
            </w:rPr>
            <w:instrText xml:space="preserve"> PAGEREF _Toc17536930 \h </w:instrText>
          </w:r>
          <w:r>
            <w:rPr>
              <w:rFonts w:hint="eastAsia" w:ascii="宋体" w:hAnsi="宋体" w:eastAsia="宋体" w:cs="宋体"/>
              <w:b/>
              <w:color w:val="auto"/>
              <w:sz w:val="32"/>
              <w:szCs w:val="32"/>
            </w:rPr>
            <w:fldChar w:fldCharType="separate"/>
          </w:r>
          <w:r>
            <w:rPr>
              <w:rFonts w:hint="eastAsia" w:ascii="宋体" w:hAnsi="宋体" w:eastAsia="宋体" w:cs="宋体"/>
              <w:b/>
              <w:color w:val="auto"/>
              <w:sz w:val="32"/>
              <w:szCs w:val="32"/>
            </w:rPr>
            <w:t>24</w:t>
          </w:r>
          <w:r>
            <w:rPr>
              <w:rFonts w:hint="eastAsia" w:ascii="宋体" w:hAnsi="宋体" w:eastAsia="宋体" w:cs="宋体"/>
              <w:b/>
              <w:color w:val="auto"/>
              <w:sz w:val="32"/>
              <w:szCs w:val="32"/>
            </w:rPr>
            <w:fldChar w:fldCharType="end"/>
          </w:r>
          <w:r>
            <w:rPr>
              <w:rFonts w:hint="eastAsia" w:ascii="宋体" w:hAnsi="宋体" w:eastAsia="宋体" w:cs="宋体"/>
              <w:b/>
              <w:color w:val="auto"/>
              <w:sz w:val="32"/>
              <w:szCs w:val="32"/>
            </w:rPr>
            <w:fldChar w:fldCharType="end"/>
          </w:r>
        </w:p>
        <w:p>
          <w:pPr>
            <w:pStyle w:val="17"/>
            <w:tabs>
              <w:tab w:val="right" w:leader="dot" w:pos="8302"/>
            </w:tabs>
            <w:spacing w:line="720" w:lineRule="auto"/>
            <w:rPr>
              <w:rFonts w:hint="eastAsia" w:ascii="宋体" w:hAnsi="宋体" w:eastAsia="宋体" w:cs="宋体"/>
              <w:color w:val="auto"/>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"_Toc17536931" </w:instrText>
          </w:r>
          <w:r>
            <w:rPr>
              <w:rFonts w:hint="eastAsia" w:ascii="宋体" w:hAnsi="宋体" w:eastAsia="宋体" w:cs="宋体"/>
              <w:color w:val="auto"/>
            </w:rPr>
            <w:fldChar w:fldCharType="separate"/>
          </w:r>
          <w:r>
            <w:rPr>
              <w:rStyle w:val="25"/>
              <w:rFonts w:hint="eastAsia" w:ascii="宋体" w:hAnsi="宋体" w:eastAsia="宋体" w:cs="宋体"/>
              <w:b/>
              <w:color w:val="auto"/>
              <w:sz w:val="32"/>
              <w:szCs w:val="32"/>
            </w:rPr>
            <w:t>友 情 提 醒</w:t>
          </w:r>
          <w:r>
            <w:rPr>
              <w:rFonts w:hint="eastAsia" w:ascii="宋体" w:hAnsi="宋体" w:eastAsia="宋体" w:cs="宋体"/>
              <w:b/>
              <w:color w:val="auto"/>
              <w:sz w:val="32"/>
              <w:szCs w:val="32"/>
            </w:rPr>
            <w:tab/>
          </w:r>
          <w:r>
            <w:rPr>
              <w:rFonts w:hint="eastAsia" w:ascii="宋体" w:hAnsi="宋体" w:eastAsia="宋体" w:cs="宋体"/>
              <w:b/>
              <w:color w:val="auto"/>
              <w:sz w:val="32"/>
              <w:szCs w:val="32"/>
            </w:rPr>
            <w:fldChar w:fldCharType="begin"/>
          </w:r>
          <w:r>
            <w:rPr>
              <w:rFonts w:hint="eastAsia" w:ascii="宋体" w:hAnsi="宋体" w:eastAsia="宋体" w:cs="宋体"/>
              <w:b/>
              <w:color w:val="auto"/>
              <w:sz w:val="32"/>
              <w:szCs w:val="32"/>
            </w:rPr>
            <w:instrText xml:space="preserve"> PAGEREF _Toc17536931 \h </w:instrText>
          </w:r>
          <w:r>
            <w:rPr>
              <w:rFonts w:hint="eastAsia" w:ascii="宋体" w:hAnsi="宋体" w:eastAsia="宋体" w:cs="宋体"/>
              <w:b/>
              <w:color w:val="auto"/>
              <w:sz w:val="32"/>
              <w:szCs w:val="32"/>
            </w:rPr>
            <w:fldChar w:fldCharType="separate"/>
          </w:r>
          <w:r>
            <w:rPr>
              <w:rFonts w:hint="eastAsia" w:ascii="宋体" w:hAnsi="宋体" w:eastAsia="宋体" w:cs="宋体"/>
              <w:b/>
              <w:color w:val="auto"/>
              <w:sz w:val="32"/>
              <w:szCs w:val="32"/>
            </w:rPr>
            <w:t>30</w:t>
          </w:r>
          <w:r>
            <w:rPr>
              <w:rFonts w:hint="eastAsia" w:ascii="宋体" w:hAnsi="宋体" w:eastAsia="宋体" w:cs="宋体"/>
              <w:b/>
              <w:color w:val="auto"/>
              <w:sz w:val="32"/>
              <w:szCs w:val="32"/>
            </w:rPr>
            <w:fldChar w:fldCharType="end"/>
          </w:r>
          <w:r>
            <w:rPr>
              <w:rFonts w:hint="eastAsia" w:ascii="宋体" w:hAnsi="宋体" w:eastAsia="宋体" w:cs="宋体"/>
              <w:b/>
              <w:color w:val="auto"/>
              <w:sz w:val="32"/>
              <w:szCs w:val="32"/>
            </w:rPr>
            <w:fldChar w:fldCharType="end"/>
          </w:r>
        </w:p>
        <w:p>
          <w:pPr>
            <w:spacing w:line="720" w:lineRule="auto"/>
            <w:rPr>
              <w:rFonts w:hint="eastAsia" w:ascii="宋体" w:hAnsi="宋体" w:eastAsia="宋体" w:cs="宋体"/>
              <w:color w:val="auto"/>
            </w:rPr>
          </w:pPr>
          <w:r>
            <w:rPr>
              <w:rFonts w:hint="eastAsia" w:ascii="宋体" w:hAnsi="宋体" w:eastAsia="宋体" w:cs="宋体"/>
              <w:b/>
              <w:color w:val="auto"/>
              <w:sz w:val="32"/>
              <w:szCs w:val="32"/>
            </w:rPr>
            <w:fldChar w:fldCharType="end"/>
          </w:r>
        </w:p>
      </w:sdtContent>
    </w:sdt>
    <w:p>
      <w:pPr>
        <w:spacing w:before="100" w:after="240" w:line="500" w:lineRule="exact"/>
        <w:jc w:val="center"/>
        <w:rPr>
          <w:rFonts w:hint="eastAsia" w:ascii="宋体" w:hAnsi="宋体" w:eastAsia="宋体" w:cs="宋体"/>
          <w:b/>
          <w:color w:val="auto"/>
          <w:sz w:val="44"/>
          <w:szCs w:val="44"/>
        </w:rPr>
      </w:pPr>
    </w:p>
    <w:p>
      <w:pPr>
        <w:spacing w:line="360" w:lineRule="auto"/>
        <w:rPr>
          <w:rFonts w:hint="eastAsia" w:ascii="宋体" w:hAnsi="宋体" w:eastAsia="宋体" w:cs="宋体"/>
          <w:b/>
          <w:bCs/>
          <w:color w:val="auto"/>
          <w:sz w:val="24"/>
          <w:szCs w:val="24"/>
        </w:rPr>
      </w:pPr>
    </w:p>
    <w:p>
      <w:pPr>
        <w:spacing w:line="360" w:lineRule="auto"/>
        <w:rPr>
          <w:rFonts w:hint="eastAsia" w:ascii="宋体" w:hAnsi="宋体" w:eastAsia="宋体" w:cs="宋体"/>
          <w:b/>
          <w:bCs/>
          <w:color w:val="auto"/>
          <w:sz w:val="24"/>
          <w:szCs w:val="24"/>
        </w:rPr>
      </w:pPr>
    </w:p>
    <w:p>
      <w:pPr>
        <w:spacing w:line="360" w:lineRule="auto"/>
        <w:rPr>
          <w:rFonts w:hint="eastAsia" w:ascii="宋体" w:hAnsi="宋体" w:eastAsia="宋体" w:cs="宋体"/>
          <w:b/>
          <w:bCs/>
          <w:color w:val="auto"/>
          <w:sz w:val="24"/>
          <w:szCs w:val="24"/>
        </w:rPr>
      </w:pPr>
    </w:p>
    <w:p>
      <w:pPr>
        <w:snapToGrid w:val="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p>
      <w:pPr>
        <w:pStyle w:val="3"/>
        <w:keepNext/>
        <w:keepLines w:val="0"/>
        <w:pageBreakBefore w:val="0"/>
        <w:widowControl/>
        <w:kinsoku/>
        <w:wordWrap/>
        <w:overflowPunct/>
        <w:topLinePunct w:val="0"/>
        <w:autoSpaceDE/>
        <w:autoSpaceDN/>
        <w:bidi w:val="0"/>
        <w:adjustRightInd w:val="0"/>
        <w:snapToGrid w:val="0"/>
        <w:textAlignment w:val="auto"/>
        <w:rPr>
          <w:rFonts w:hint="eastAsia" w:ascii="宋体" w:hAnsi="宋体" w:eastAsia="宋体" w:cs="宋体"/>
          <w:b/>
          <w:color w:val="auto"/>
          <w:sz w:val="32"/>
          <w:szCs w:val="32"/>
          <w:u w:val="none"/>
        </w:rPr>
      </w:pPr>
      <w:bookmarkStart w:id="0" w:name="_Toc17536924"/>
      <w:r>
        <w:rPr>
          <w:rFonts w:hint="eastAsia" w:ascii="宋体" w:hAnsi="宋体" w:cs="宋体"/>
          <w:b/>
          <w:color w:val="auto"/>
          <w:sz w:val="32"/>
          <w:szCs w:val="32"/>
          <w:u w:val="none"/>
          <w:lang w:eastAsia="zh-CN"/>
        </w:rPr>
        <w:t>常州市钟楼区北港街道办事处（人民武装部）</w:t>
      </w:r>
      <w:r>
        <w:rPr>
          <w:rFonts w:hint="eastAsia" w:ascii="宋体" w:hAnsi="宋体" w:eastAsia="宋体" w:cs="宋体"/>
          <w:b/>
          <w:color w:val="auto"/>
          <w:sz w:val="32"/>
          <w:szCs w:val="32"/>
          <w:u w:val="none"/>
        </w:rPr>
        <w:t>基层规范化</w:t>
      </w:r>
    </w:p>
    <w:p>
      <w:pPr>
        <w:pStyle w:val="3"/>
        <w:keepNext/>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color w:val="auto"/>
        </w:rPr>
      </w:pPr>
      <w:r>
        <w:rPr>
          <w:rFonts w:hint="eastAsia" w:ascii="宋体" w:hAnsi="宋体" w:eastAsia="宋体" w:cs="宋体"/>
          <w:b/>
          <w:color w:val="auto"/>
          <w:sz w:val="32"/>
          <w:szCs w:val="32"/>
          <w:u w:val="none"/>
        </w:rPr>
        <w:t>建设物资装备采购项目</w:t>
      </w:r>
      <w:r>
        <w:rPr>
          <w:rFonts w:hint="eastAsia" w:ascii="宋体" w:hAnsi="宋体" w:eastAsia="宋体" w:cs="宋体"/>
          <w:color w:val="auto"/>
        </w:rPr>
        <w:t>竞争性谈判公告</w:t>
      </w:r>
      <w:bookmarkEnd w:id="0"/>
    </w:p>
    <w:p>
      <w:pPr>
        <w:keepNext w:val="0"/>
        <w:keepLines w:val="0"/>
        <w:pageBreakBefore w:val="0"/>
        <w:widowControl w:val="0"/>
        <w:pBdr>
          <w:top w:val="single" w:color="auto" w:sz="4" w:space="1"/>
          <w:left w:val="single" w:color="auto" w:sz="4" w:space="4"/>
          <w:bottom w:val="single" w:color="auto" w:sz="4" w:space="10"/>
          <w:right w:val="single" w:color="auto" w:sz="4" w:space="4"/>
        </w:pBdr>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项目概况</w:t>
      </w:r>
    </w:p>
    <w:p>
      <w:pPr>
        <w:keepNext w:val="0"/>
        <w:keepLines w:val="0"/>
        <w:pageBreakBefore w:val="0"/>
        <w:widowControl w:val="0"/>
        <w:pBdr>
          <w:top w:val="single" w:color="auto" w:sz="4" w:space="1"/>
          <w:left w:val="single" w:color="auto" w:sz="4" w:space="4"/>
          <w:bottom w:val="single" w:color="auto" w:sz="4" w:space="10"/>
          <w:right w:val="single" w:color="auto" w:sz="4" w:space="4"/>
        </w:pBdr>
        <w:kinsoku/>
        <w:wordWrap/>
        <w:topLinePunct w:val="0"/>
        <w:autoSpaceDE/>
        <w:autoSpaceDN/>
        <w:bidi w:val="0"/>
        <w:adjustRightInd w:val="0"/>
        <w:snapToGrid w:val="0"/>
        <w:spacing w:line="360" w:lineRule="exact"/>
        <w:ind w:firstLine="422" w:firstLineChars="200"/>
        <w:textAlignment w:val="auto"/>
        <w:rPr>
          <w:rFonts w:hint="eastAsia" w:ascii="宋体" w:hAnsi="宋体" w:eastAsia="宋体" w:cs="宋体"/>
          <w:color w:val="auto"/>
          <w:szCs w:val="21"/>
        </w:rPr>
      </w:pPr>
      <w:r>
        <w:rPr>
          <w:rFonts w:hint="eastAsia" w:ascii="宋体" w:hAnsi="宋体" w:cs="宋体"/>
          <w:b/>
          <w:bCs/>
          <w:color w:val="auto"/>
          <w:szCs w:val="21"/>
          <w:lang w:eastAsia="zh-CN"/>
        </w:rPr>
        <w:t>常州市钟楼区北港街道办事处（人民武装部）</w:t>
      </w:r>
      <w:r>
        <w:rPr>
          <w:rFonts w:hint="eastAsia" w:ascii="宋体" w:hAnsi="宋体" w:eastAsia="宋体" w:cs="宋体"/>
          <w:b/>
          <w:bCs/>
          <w:color w:val="auto"/>
          <w:szCs w:val="21"/>
        </w:rPr>
        <w:t>基层规范化建设物资装备采购项目</w:t>
      </w:r>
      <w:r>
        <w:rPr>
          <w:rFonts w:hint="eastAsia" w:ascii="宋体" w:hAnsi="宋体" w:eastAsia="宋体" w:cs="宋体"/>
          <w:color w:val="auto"/>
          <w:szCs w:val="21"/>
        </w:rPr>
        <w:t>的潜在供应商应在常州市城投建设工程招标有限公司获取采购文件，并于</w:t>
      </w:r>
      <w:r>
        <w:rPr>
          <w:rFonts w:hint="eastAsia" w:ascii="宋体" w:hAnsi="宋体" w:eastAsia="宋体" w:cs="宋体"/>
          <w:b/>
          <w:bCs/>
          <w:color w:val="auto"/>
        </w:rPr>
        <w:t>20</w:t>
      </w:r>
      <w:r>
        <w:rPr>
          <w:rFonts w:hint="eastAsia" w:ascii="宋体" w:hAnsi="宋体" w:cs="宋体"/>
          <w:b/>
          <w:bCs/>
          <w:color w:val="auto"/>
          <w:lang w:val="en-US" w:eastAsia="zh-CN"/>
        </w:rPr>
        <w:t>2</w:t>
      </w:r>
      <w:bookmarkStart w:id="9" w:name="_GoBack"/>
      <w:bookmarkEnd w:id="9"/>
      <w:r>
        <w:rPr>
          <w:rFonts w:hint="eastAsia" w:ascii="宋体" w:hAnsi="宋体" w:cs="宋体"/>
          <w:b/>
          <w:bCs/>
          <w:color w:val="auto"/>
          <w:lang w:val="en-US" w:eastAsia="zh-CN"/>
        </w:rPr>
        <w:t>0</w:t>
      </w:r>
      <w:r>
        <w:rPr>
          <w:rFonts w:hint="eastAsia" w:ascii="宋体" w:hAnsi="宋体" w:eastAsia="宋体" w:cs="宋体"/>
          <w:b/>
          <w:bCs/>
          <w:color w:val="auto"/>
        </w:rPr>
        <w:t>年</w:t>
      </w:r>
      <w:r>
        <w:rPr>
          <w:rFonts w:hint="eastAsia" w:ascii="宋体" w:hAnsi="宋体" w:cs="宋体"/>
          <w:b/>
          <w:bCs/>
          <w:color w:val="auto"/>
          <w:lang w:val="en-US" w:eastAsia="zh-CN"/>
        </w:rPr>
        <w:t>9</w:t>
      </w:r>
      <w:r>
        <w:rPr>
          <w:rFonts w:hint="eastAsia" w:ascii="宋体" w:hAnsi="宋体" w:eastAsia="宋体" w:cs="宋体"/>
          <w:b/>
          <w:bCs/>
          <w:color w:val="auto"/>
        </w:rPr>
        <w:t>月</w:t>
      </w:r>
      <w:r>
        <w:rPr>
          <w:rFonts w:hint="eastAsia" w:ascii="宋体" w:hAnsi="宋体" w:cs="宋体"/>
          <w:b/>
          <w:bCs/>
          <w:color w:val="auto"/>
          <w:lang w:val="en-US" w:eastAsia="zh-CN"/>
        </w:rPr>
        <w:t>25</w:t>
      </w:r>
      <w:r>
        <w:rPr>
          <w:rFonts w:hint="eastAsia" w:ascii="宋体" w:hAnsi="宋体" w:eastAsia="宋体" w:cs="宋体"/>
          <w:b/>
          <w:bCs/>
          <w:color w:val="auto"/>
        </w:rPr>
        <w:t>日</w:t>
      </w:r>
      <w:r>
        <w:rPr>
          <w:rFonts w:hint="eastAsia" w:ascii="宋体" w:hAnsi="宋体" w:cs="宋体"/>
          <w:b/>
          <w:bCs/>
          <w:color w:val="auto"/>
          <w:lang w:val="en-US" w:eastAsia="zh-CN"/>
        </w:rPr>
        <w:t>15</w:t>
      </w:r>
      <w:r>
        <w:rPr>
          <w:rFonts w:hint="eastAsia" w:ascii="宋体" w:hAnsi="宋体" w:eastAsia="宋体" w:cs="宋体"/>
          <w:b/>
          <w:bCs/>
          <w:color w:val="auto"/>
        </w:rPr>
        <w:t>点</w:t>
      </w:r>
      <w:r>
        <w:rPr>
          <w:rFonts w:hint="eastAsia" w:ascii="宋体" w:hAnsi="宋体" w:cs="宋体"/>
          <w:b/>
          <w:bCs/>
          <w:color w:val="auto"/>
          <w:lang w:val="en-US" w:eastAsia="zh-CN"/>
        </w:rPr>
        <w:t>00</w:t>
      </w:r>
      <w:r>
        <w:rPr>
          <w:rFonts w:hint="eastAsia" w:ascii="宋体" w:hAnsi="宋体" w:eastAsia="宋体" w:cs="宋体"/>
          <w:b/>
          <w:bCs/>
          <w:color w:val="auto"/>
        </w:rPr>
        <w:t>分（北京时间）</w:t>
      </w:r>
      <w:r>
        <w:rPr>
          <w:rFonts w:hint="eastAsia" w:ascii="宋体" w:hAnsi="宋体" w:eastAsia="宋体" w:cs="宋体"/>
          <w:color w:val="auto"/>
          <w:szCs w:val="21"/>
        </w:rPr>
        <w:t>前提交响应文件。</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宋体" w:hAnsi="宋体" w:eastAsia="宋体" w:cs="宋体"/>
          <w:b/>
          <w:color w:val="auto"/>
          <w:szCs w:val="21"/>
        </w:rPr>
      </w:pPr>
      <w:r>
        <w:rPr>
          <w:rFonts w:hint="eastAsia" w:ascii="宋体" w:hAnsi="宋体" w:eastAsia="宋体" w:cs="宋体"/>
          <w:b/>
          <w:color w:val="auto"/>
          <w:szCs w:val="21"/>
        </w:rPr>
        <w:t>一、项目基本情况</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rPr>
        <w:t>1.项目编</w:t>
      </w:r>
      <w:r>
        <w:rPr>
          <w:rFonts w:hint="eastAsia" w:ascii="宋体" w:hAnsi="宋体" w:eastAsia="宋体" w:cs="宋体"/>
          <w:color w:val="auto"/>
          <w:szCs w:val="21"/>
          <w:highlight w:val="none"/>
        </w:rPr>
        <w:t>号：</w:t>
      </w:r>
      <w:r>
        <w:rPr>
          <w:rFonts w:hint="eastAsia" w:ascii="宋体" w:hAnsi="宋体" w:eastAsia="宋体" w:cs="宋体"/>
          <w:bCs/>
          <w:color w:val="auto"/>
          <w:szCs w:val="21"/>
          <w:highlight w:val="none"/>
        </w:rPr>
        <w:t>CT-SJ-2020065</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2.项目名称：</w:t>
      </w:r>
      <w:r>
        <w:rPr>
          <w:rFonts w:hint="eastAsia" w:ascii="宋体" w:hAnsi="宋体" w:cs="宋体"/>
          <w:color w:val="auto"/>
          <w:szCs w:val="21"/>
          <w:lang w:eastAsia="zh-CN"/>
        </w:rPr>
        <w:t>常州市钟楼区北港街道办事处（人民武装部）</w:t>
      </w:r>
      <w:r>
        <w:rPr>
          <w:rFonts w:hint="eastAsia" w:ascii="宋体" w:hAnsi="宋体" w:eastAsia="宋体" w:cs="宋体"/>
          <w:color w:val="auto"/>
          <w:szCs w:val="21"/>
        </w:rPr>
        <w:t>基层规范化建设物资装备</w:t>
      </w:r>
    </w:p>
    <w:p>
      <w:pPr>
        <w:keepNext w:val="0"/>
        <w:keepLines w:val="0"/>
        <w:pageBreakBefore w:val="0"/>
        <w:widowControl w:val="0"/>
        <w:kinsoku/>
        <w:wordWrap/>
        <w:topLinePunct w:val="0"/>
        <w:autoSpaceDE/>
        <w:autoSpaceDN/>
        <w:bidi w:val="0"/>
        <w:adjustRightInd w:val="0"/>
        <w:snapToGrid w:val="0"/>
        <w:spacing w:line="360" w:lineRule="exact"/>
        <w:ind w:firstLine="1680" w:firstLineChars="800"/>
        <w:textAlignment w:val="auto"/>
        <w:rPr>
          <w:rFonts w:hint="eastAsia" w:ascii="宋体" w:hAnsi="宋体" w:eastAsia="宋体" w:cs="宋体"/>
          <w:color w:val="auto"/>
          <w:szCs w:val="21"/>
        </w:rPr>
      </w:pPr>
      <w:r>
        <w:rPr>
          <w:rFonts w:hint="eastAsia" w:ascii="宋体" w:hAnsi="宋体" w:eastAsia="宋体" w:cs="宋体"/>
          <w:color w:val="auto"/>
          <w:szCs w:val="21"/>
        </w:rPr>
        <w:t>采购项目</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3.采购方式：竞争性谈判</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宋体" w:hAnsi="宋体" w:eastAsia="宋体" w:cs="宋体"/>
          <w:b/>
          <w:bCs/>
          <w:color w:val="auto"/>
          <w:szCs w:val="21"/>
        </w:rPr>
      </w:pPr>
      <w:r>
        <w:rPr>
          <w:rFonts w:hint="eastAsia" w:ascii="宋体" w:hAnsi="宋体" w:eastAsia="宋体" w:cs="宋体"/>
          <w:b/>
          <w:bCs/>
          <w:color w:val="auto"/>
          <w:szCs w:val="21"/>
        </w:rPr>
        <w:t>4.预算金额：</w:t>
      </w:r>
      <w:r>
        <w:rPr>
          <w:rFonts w:hint="eastAsia" w:ascii="宋体" w:hAnsi="宋体" w:eastAsia="宋体" w:cs="宋体"/>
          <w:b/>
          <w:bCs/>
          <w:color w:val="auto"/>
          <w:szCs w:val="21"/>
          <w:lang w:eastAsia="zh-CN"/>
        </w:rPr>
        <w:t>人民币</w:t>
      </w:r>
      <w:r>
        <w:rPr>
          <w:rFonts w:hint="eastAsia" w:ascii="宋体" w:hAnsi="宋体" w:eastAsia="宋体" w:cs="宋体"/>
          <w:b/>
          <w:bCs/>
          <w:color w:val="auto"/>
          <w:szCs w:val="21"/>
          <w:lang w:val="en-US" w:eastAsia="zh-CN"/>
        </w:rPr>
        <w:t>15万</w:t>
      </w:r>
      <w:r>
        <w:rPr>
          <w:rFonts w:hint="eastAsia" w:ascii="宋体" w:hAnsi="宋体" w:eastAsia="宋体" w:cs="宋体"/>
          <w:b/>
          <w:bCs/>
          <w:color w:val="auto"/>
          <w:szCs w:val="21"/>
        </w:rPr>
        <w:t>元</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宋体" w:hAnsi="宋体" w:eastAsia="宋体" w:cs="宋体"/>
          <w:b/>
          <w:bCs/>
          <w:color w:val="auto"/>
          <w:szCs w:val="21"/>
        </w:rPr>
      </w:pPr>
      <w:r>
        <w:rPr>
          <w:rFonts w:hint="eastAsia" w:ascii="宋体" w:hAnsi="宋体" w:eastAsia="宋体" w:cs="宋体"/>
          <w:b/>
          <w:bCs/>
          <w:color w:val="auto"/>
          <w:szCs w:val="21"/>
        </w:rPr>
        <w:t>5.最高限价：</w:t>
      </w:r>
      <w:r>
        <w:rPr>
          <w:rFonts w:hint="eastAsia" w:ascii="宋体" w:hAnsi="宋体" w:eastAsia="宋体" w:cs="宋体"/>
          <w:b/>
          <w:bCs/>
          <w:color w:val="auto"/>
          <w:szCs w:val="21"/>
          <w:lang w:eastAsia="zh-CN"/>
        </w:rPr>
        <w:t>人民币</w:t>
      </w:r>
      <w:r>
        <w:rPr>
          <w:rFonts w:hint="eastAsia" w:ascii="宋体" w:hAnsi="宋体" w:eastAsia="宋体" w:cs="宋体"/>
          <w:b/>
          <w:bCs/>
          <w:color w:val="auto"/>
          <w:szCs w:val="21"/>
          <w:lang w:val="en-US" w:eastAsia="zh-CN"/>
        </w:rPr>
        <w:t>15万</w:t>
      </w:r>
      <w:r>
        <w:rPr>
          <w:rFonts w:hint="eastAsia" w:ascii="宋体" w:hAnsi="宋体" w:eastAsia="宋体" w:cs="宋体"/>
          <w:b/>
          <w:bCs/>
          <w:color w:val="auto"/>
          <w:szCs w:val="21"/>
        </w:rPr>
        <w:t>元</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b/>
          <w:color w:val="auto"/>
          <w:spacing w:val="2"/>
          <w:szCs w:val="21"/>
        </w:rPr>
      </w:pPr>
      <w:r>
        <w:rPr>
          <w:rFonts w:hint="eastAsia" w:ascii="宋体" w:hAnsi="宋体" w:eastAsia="宋体" w:cs="宋体"/>
          <w:color w:val="auto"/>
          <w:szCs w:val="21"/>
        </w:rPr>
        <w:t>6.采购需求：货物的制造（采购）、运输、装卸</w:t>
      </w:r>
      <w:r>
        <w:rPr>
          <w:rFonts w:hint="eastAsia" w:ascii="宋体" w:hAnsi="宋体" w:cs="宋体"/>
          <w:color w:val="auto"/>
          <w:szCs w:val="21"/>
          <w:lang w:eastAsia="zh-CN"/>
        </w:rPr>
        <w:t>、</w:t>
      </w:r>
      <w:r>
        <w:rPr>
          <w:rFonts w:hint="eastAsia" w:ascii="宋体" w:hAnsi="宋体" w:eastAsia="宋体" w:cs="宋体"/>
          <w:color w:val="auto"/>
          <w:szCs w:val="21"/>
          <w:highlight w:val="none"/>
        </w:rPr>
        <w:t>安装调试</w:t>
      </w:r>
      <w:r>
        <w:rPr>
          <w:rFonts w:hint="eastAsia" w:ascii="宋体" w:hAnsi="宋体" w:eastAsia="宋体" w:cs="宋体"/>
          <w:color w:val="auto"/>
          <w:szCs w:val="21"/>
        </w:rPr>
        <w:t>以及质保等全部工作。</w:t>
      </w:r>
    </w:p>
    <w:p>
      <w:pPr>
        <w:keepNext w:val="0"/>
        <w:keepLines w:val="0"/>
        <w:pageBreakBefore w:val="0"/>
        <w:widowControl w:val="0"/>
        <w:kinsoku/>
        <w:wordWrap/>
        <w:topLinePunct w:val="0"/>
        <w:autoSpaceDE/>
        <w:autoSpaceDN/>
        <w:bidi w:val="0"/>
        <w:adjustRightInd w:val="0"/>
        <w:snapToGrid w:val="0"/>
        <w:spacing w:line="360" w:lineRule="exact"/>
        <w:ind w:right="210"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rPr>
        <w:t>7.合同履行期限</w:t>
      </w:r>
      <w:r>
        <w:rPr>
          <w:rFonts w:hint="eastAsia" w:ascii="宋体" w:hAnsi="宋体" w:eastAsia="宋体" w:cs="宋体"/>
          <w:color w:val="auto"/>
          <w:szCs w:val="21"/>
          <w:highlight w:val="none"/>
        </w:rPr>
        <w:t>：</w:t>
      </w:r>
      <w:r>
        <w:rPr>
          <w:rFonts w:hint="eastAsia" w:ascii="宋体" w:hAnsi="宋体" w:eastAsia="宋体" w:cs="宋体"/>
          <w:bCs/>
          <w:color w:val="auto"/>
          <w:sz w:val="21"/>
          <w:szCs w:val="21"/>
          <w:highlight w:val="none"/>
        </w:rPr>
        <w:t>合同签订后</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日内送至招标人指定地点并安装调试完成。</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8.本项目不接受联合体。</w:t>
      </w:r>
    </w:p>
    <w:p>
      <w:pPr>
        <w:keepNext w:val="0"/>
        <w:keepLines w:val="0"/>
        <w:pageBreakBefore w:val="0"/>
        <w:widowControl w:val="0"/>
        <w:kinsoku/>
        <w:wordWrap/>
        <w:topLinePunct w:val="0"/>
        <w:autoSpaceDE/>
        <w:autoSpaceDN/>
        <w:bidi w:val="0"/>
        <w:adjustRightInd w:val="0"/>
        <w:snapToGrid w:val="0"/>
        <w:spacing w:line="360" w:lineRule="exact"/>
        <w:ind w:firstLine="424" w:firstLineChars="201"/>
        <w:textAlignment w:val="auto"/>
        <w:rPr>
          <w:rFonts w:hint="eastAsia" w:ascii="宋体" w:hAnsi="宋体" w:eastAsia="宋体" w:cs="宋体"/>
          <w:b/>
          <w:color w:val="auto"/>
          <w:kern w:val="0"/>
          <w:szCs w:val="21"/>
        </w:rPr>
      </w:pPr>
      <w:r>
        <w:rPr>
          <w:rFonts w:hint="eastAsia" w:ascii="宋体" w:hAnsi="宋体" w:eastAsia="宋体" w:cs="宋体"/>
          <w:b/>
          <w:color w:val="auto"/>
          <w:kern w:val="0"/>
          <w:szCs w:val="21"/>
        </w:rPr>
        <w:t xml:space="preserve">二、申请人的资格要求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 xml:space="preserve">1.在中华人民共和国境内注册，具有独立承担民事责任的能力；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 xml:space="preserve">2.具有良好的商业信誉和健全的财务会计制度；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 xml:space="preserve">3.具有履行合同所必需的设备和专业技术能力；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 xml:space="preserve">4.有依法缴纳税收和社会保障资金的良好记录；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 xml:space="preserve">5.参加采购活动前三年内，在经营活动中没有重大违法记录；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6.法律、行政法规规定的其他条件；</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7.单位负责人为同一人或者存在直接控股、管理关系的不同供应商，不得参加同一合同项下的采购活动；</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8.未被“信用中国”网站（www.creditchina.gov.cn）、中国政府采购网(www.ccgp.gov.cn)列入失信被执行人、重大税收违法案件当事人名单、政府采购严重失信行为记录名单。</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宋体" w:hAnsi="宋体" w:eastAsia="宋体" w:cs="宋体"/>
          <w:b/>
          <w:color w:val="auto"/>
          <w:szCs w:val="21"/>
        </w:rPr>
      </w:pPr>
      <w:r>
        <w:rPr>
          <w:rFonts w:hint="eastAsia" w:ascii="宋体" w:hAnsi="宋体" w:eastAsia="宋体" w:cs="宋体"/>
          <w:b/>
          <w:color w:val="auto"/>
          <w:szCs w:val="21"/>
        </w:rPr>
        <w:t>三、获取采购文件</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rPr>
        <w:t>1.</w:t>
      </w:r>
      <w:r>
        <w:rPr>
          <w:rFonts w:hint="eastAsia" w:ascii="宋体" w:hAnsi="宋体" w:eastAsia="宋体" w:cs="宋体"/>
          <w:b/>
          <w:bCs/>
          <w:color w:val="auto"/>
          <w:szCs w:val="21"/>
          <w:highlight w:val="none"/>
        </w:rPr>
        <w:t>时间：</w:t>
      </w:r>
      <w:r>
        <w:rPr>
          <w:rFonts w:hint="eastAsia" w:ascii="宋体" w:hAnsi="宋体" w:eastAsia="宋体" w:cs="宋体"/>
          <w:b/>
          <w:bCs/>
          <w:color w:val="auto"/>
          <w:kern w:val="0"/>
          <w:szCs w:val="21"/>
          <w:highlight w:val="none"/>
        </w:rPr>
        <w:t>20</w:t>
      </w:r>
      <w:r>
        <w:rPr>
          <w:rFonts w:hint="eastAsia" w:ascii="宋体" w:hAnsi="宋体" w:cs="宋体"/>
          <w:b/>
          <w:bCs/>
          <w:color w:val="auto"/>
          <w:kern w:val="0"/>
          <w:szCs w:val="21"/>
          <w:highlight w:val="none"/>
          <w:lang w:val="en-US" w:eastAsia="zh-CN"/>
        </w:rPr>
        <w:t>20</w:t>
      </w:r>
      <w:r>
        <w:rPr>
          <w:rFonts w:hint="eastAsia" w:ascii="宋体" w:hAnsi="宋体" w:eastAsia="宋体" w:cs="宋体"/>
          <w:b/>
          <w:bCs/>
          <w:color w:val="auto"/>
          <w:kern w:val="0"/>
          <w:szCs w:val="21"/>
          <w:highlight w:val="none"/>
        </w:rPr>
        <w:t>年月</w:t>
      </w:r>
      <w:r>
        <w:rPr>
          <w:rFonts w:hint="eastAsia" w:ascii="宋体" w:hAnsi="宋体" w:cs="宋体"/>
          <w:b/>
          <w:bCs/>
          <w:color w:val="auto"/>
          <w:kern w:val="0"/>
          <w:szCs w:val="21"/>
          <w:highlight w:val="none"/>
          <w:lang w:val="en-US" w:eastAsia="zh-CN"/>
        </w:rPr>
        <w:t>21</w:t>
      </w:r>
      <w:r>
        <w:rPr>
          <w:rFonts w:hint="eastAsia" w:ascii="宋体" w:hAnsi="宋体" w:eastAsia="宋体" w:cs="宋体"/>
          <w:b/>
          <w:bCs/>
          <w:color w:val="auto"/>
          <w:kern w:val="0"/>
          <w:szCs w:val="21"/>
          <w:highlight w:val="none"/>
        </w:rPr>
        <w:t>日</w:t>
      </w:r>
      <w:r>
        <w:rPr>
          <w:rFonts w:hint="eastAsia" w:ascii="宋体" w:hAnsi="宋体" w:cs="宋体"/>
          <w:b/>
          <w:bCs/>
          <w:color w:val="auto"/>
          <w:kern w:val="0"/>
          <w:szCs w:val="21"/>
          <w:highlight w:val="none"/>
          <w:lang w:eastAsia="zh-CN"/>
        </w:rPr>
        <w:t>起</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2.地点：</w:t>
      </w:r>
      <w:r>
        <w:rPr>
          <w:rFonts w:hint="eastAsia" w:ascii="宋体" w:hAnsi="宋体" w:eastAsia="宋体" w:cs="宋体"/>
          <w:color w:val="auto"/>
          <w:kern w:val="0"/>
          <w:szCs w:val="21"/>
          <w:highlight w:val="none"/>
        </w:rPr>
        <w:t>常州市城投建设工程招标有限公司（常州市新北区通江中路396号中创大厦4楼）</w:t>
      </w:r>
      <w:r>
        <w:rPr>
          <w:rFonts w:hint="eastAsia" w:ascii="宋体" w:hAnsi="宋体" w:eastAsia="宋体" w:cs="宋体"/>
          <w:color w:val="auto"/>
          <w:highlight w:val="none"/>
        </w:rPr>
        <w:t xml:space="preserve">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color w:val="auto"/>
          <w:szCs w:val="21"/>
          <w:highlight w:val="none"/>
        </w:rPr>
        <w:t>3.方式：</w:t>
      </w:r>
      <w:r>
        <w:rPr>
          <w:rFonts w:hint="eastAsia" w:ascii="宋体" w:hAnsi="宋体" w:eastAsia="宋体" w:cs="宋体"/>
          <w:bCs/>
          <w:color w:val="auto"/>
          <w:kern w:val="0"/>
          <w:szCs w:val="21"/>
          <w:highlight w:val="none"/>
        </w:rPr>
        <w:t>符合条件的供应商从常州市城投建设工程招标有限公司（www.czctzb.com）网站自行下载竞争性谈判文件，谈判现场交纳竞争性谈判文件费用。</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bCs/>
          <w:color w:val="auto"/>
          <w:szCs w:val="21"/>
        </w:rPr>
      </w:pPr>
      <w:r>
        <w:rPr>
          <w:rFonts w:hint="eastAsia" w:ascii="宋体" w:hAnsi="宋体" w:eastAsia="宋体" w:cs="宋体"/>
          <w:color w:val="auto"/>
          <w:szCs w:val="21"/>
        </w:rPr>
        <w:t>4.售价：</w:t>
      </w:r>
      <w:r>
        <w:rPr>
          <w:rFonts w:hint="eastAsia" w:ascii="宋体" w:hAnsi="宋体" w:eastAsia="宋体" w:cs="宋体"/>
          <w:color w:val="auto"/>
          <w:kern w:val="0"/>
          <w:szCs w:val="21"/>
        </w:rPr>
        <w:t>人民币伍佰元整</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宋体" w:hAnsi="宋体" w:eastAsia="宋体" w:cs="宋体"/>
          <w:b/>
          <w:color w:val="auto"/>
        </w:rPr>
      </w:pPr>
      <w:r>
        <w:rPr>
          <w:rFonts w:hint="eastAsia" w:ascii="宋体" w:hAnsi="宋体" w:eastAsia="宋体" w:cs="宋体"/>
          <w:b/>
          <w:color w:val="auto"/>
        </w:rPr>
        <w:t>四、响应文件提交</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宋体" w:hAnsi="宋体" w:eastAsia="宋体" w:cs="宋体"/>
          <w:b/>
          <w:bCs/>
          <w:color w:val="auto"/>
        </w:rPr>
      </w:pPr>
      <w:r>
        <w:rPr>
          <w:rFonts w:hint="eastAsia" w:ascii="宋体" w:hAnsi="宋体" w:eastAsia="宋体" w:cs="宋体"/>
          <w:b/>
          <w:bCs/>
          <w:color w:val="auto"/>
        </w:rPr>
        <w:t>截止时间：20</w:t>
      </w:r>
      <w:r>
        <w:rPr>
          <w:rFonts w:hint="eastAsia" w:ascii="宋体" w:hAnsi="宋体" w:cs="宋体"/>
          <w:b/>
          <w:bCs/>
          <w:color w:val="auto"/>
          <w:lang w:val="en-US" w:eastAsia="zh-CN"/>
        </w:rPr>
        <w:t>20</w:t>
      </w:r>
      <w:r>
        <w:rPr>
          <w:rFonts w:hint="eastAsia" w:ascii="宋体" w:hAnsi="宋体" w:eastAsia="宋体" w:cs="宋体"/>
          <w:b/>
          <w:bCs/>
          <w:color w:val="auto"/>
        </w:rPr>
        <w:t>年</w:t>
      </w:r>
      <w:r>
        <w:rPr>
          <w:rFonts w:hint="eastAsia" w:ascii="宋体" w:hAnsi="宋体" w:cs="宋体"/>
          <w:b/>
          <w:bCs/>
          <w:color w:val="auto"/>
          <w:lang w:val="en-US" w:eastAsia="zh-CN"/>
        </w:rPr>
        <w:t>9</w:t>
      </w:r>
      <w:r>
        <w:rPr>
          <w:rFonts w:hint="eastAsia" w:ascii="宋体" w:hAnsi="宋体" w:eastAsia="宋体" w:cs="宋体"/>
          <w:b/>
          <w:bCs/>
          <w:color w:val="auto"/>
        </w:rPr>
        <w:t>月</w:t>
      </w:r>
      <w:r>
        <w:rPr>
          <w:rFonts w:hint="eastAsia" w:ascii="宋体" w:hAnsi="宋体" w:cs="宋体"/>
          <w:b/>
          <w:bCs/>
          <w:color w:val="auto"/>
          <w:lang w:val="en-US" w:eastAsia="zh-CN"/>
        </w:rPr>
        <w:t>25</w:t>
      </w:r>
      <w:r>
        <w:rPr>
          <w:rFonts w:hint="eastAsia" w:ascii="宋体" w:hAnsi="宋体" w:eastAsia="宋体" w:cs="宋体"/>
          <w:b/>
          <w:bCs/>
          <w:color w:val="auto"/>
        </w:rPr>
        <w:t>日</w:t>
      </w:r>
      <w:r>
        <w:rPr>
          <w:rFonts w:hint="eastAsia" w:ascii="宋体" w:hAnsi="宋体" w:cs="宋体"/>
          <w:b/>
          <w:bCs/>
          <w:color w:val="auto"/>
          <w:lang w:val="en-US" w:eastAsia="zh-CN"/>
        </w:rPr>
        <w:t>15</w:t>
      </w:r>
      <w:r>
        <w:rPr>
          <w:rFonts w:hint="eastAsia" w:ascii="宋体" w:hAnsi="宋体" w:eastAsia="宋体" w:cs="宋体"/>
          <w:b/>
          <w:bCs/>
          <w:color w:val="auto"/>
        </w:rPr>
        <w:t>点</w:t>
      </w:r>
      <w:r>
        <w:rPr>
          <w:rFonts w:hint="eastAsia" w:ascii="宋体" w:hAnsi="宋体" w:cs="宋体"/>
          <w:b/>
          <w:bCs/>
          <w:color w:val="auto"/>
          <w:lang w:val="en-US" w:eastAsia="zh-CN"/>
        </w:rPr>
        <w:t>00</w:t>
      </w:r>
      <w:r>
        <w:rPr>
          <w:rFonts w:hint="eastAsia" w:ascii="宋体" w:hAnsi="宋体" w:eastAsia="宋体" w:cs="宋体"/>
          <w:b/>
          <w:bCs/>
          <w:color w:val="auto"/>
        </w:rPr>
        <w:t>分（北京时间）</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宋体" w:hAnsi="宋体" w:eastAsia="宋体" w:cs="宋体"/>
          <w:b/>
          <w:bCs/>
          <w:color w:val="auto"/>
        </w:rPr>
      </w:pPr>
      <w:r>
        <w:rPr>
          <w:rFonts w:hint="eastAsia" w:ascii="宋体" w:hAnsi="宋体" w:eastAsia="宋体" w:cs="宋体"/>
          <w:b/>
          <w:bCs/>
          <w:color w:val="auto"/>
        </w:rPr>
        <w:t>地点：常州市城投建设工程招标有限公司（常州市新北区通江中路396号中创大厦4楼）</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宋体" w:hAnsi="宋体" w:eastAsia="宋体" w:cs="宋体"/>
          <w:b/>
          <w:color w:val="auto"/>
        </w:rPr>
      </w:pPr>
      <w:r>
        <w:rPr>
          <w:rFonts w:hint="eastAsia" w:ascii="宋体" w:hAnsi="宋体" w:eastAsia="宋体" w:cs="宋体"/>
          <w:b/>
          <w:color w:val="auto"/>
        </w:rPr>
        <w:t>五、开启</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宋体" w:hAnsi="宋体" w:eastAsia="宋体" w:cs="宋体"/>
          <w:b/>
          <w:bCs/>
          <w:color w:val="auto"/>
        </w:rPr>
      </w:pPr>
      <w:r>
        <w:rPr>
          <w:rFonts w:hint="eastAsia" w:ascii="宋体" w:hAnsi="宋体" w:eastAsia="宋体" w:cs="宋体"/>
          <w:b/>
          <w:bCs/>
          <w:color w:val="auto"/>
        </w:rPr>
        <w:t>时间：20</w:t>
      </w:r>
      <w:r>
        <w:rPr>
          <w:rFonts w:hint="eastAsia" w:ascii="宋体" w:hAnsi="宋体" w:cs="宋体"/>
          <w:b/>
          <w:bCs/>
          <w:color w:val="auto"/>
          <w:lang w:val="en-US" w:eastAsia="zh-CN"/>
        </w:rPr>
        <w:t>20</w:t>
      </w:r>
      <w:r>
        <w:rPr>
          <w:rFonts w:hint="eastAsia" w:ascii="宋体" w:hAnsi="宋体" w:eastAsia="宋体" w:cs="宋体"/>
          <w:b/>
          <w:bCs/>
          <w:color w:val="auto"/>
        </w:rPr>
        <w:t>年</w:t>
      </w:r>
      <w:r>
        <w:rPr>
          <w:rFonts w:hint="eastAsia" w:ascii="宋体" w:hAnsi="宋体" w:cs="宋体"/>
          <w:b/>
          <w:bCs/>
          <w:color w:val="auto"/>
          <w:lang w:val="en-US" w:eastAsia="zh-CN"/>
        </w:rPr>
        <w:t>9</w:t>
      </w:r>
      <w:r>
        <w:rPr>
          <w:rFonts w:hint="eastAsia" w:ascii="宋体" w:hAnsi="宋体" w:eastAsia="宋体" w:cs="宋体"/>
          <w:b/>
          <w:bCs/>
          <w:color w:val="auto"/>
        </w:rPr>
        <w:t>月</w:t>
      </w:r>
      <w:r>
        <w:rPr>
          <w:rFonts w:hint="eastAsia" w:ascii="宋体" w:hAnsi="宋体" w:cs="宋体"/>
          <w:b/>
          <w:bCs/>
          <w:color w:val="auto"/>
          <w:lang w:val="en-US" w:eastAsia="zh-CN"/>
        </w:rPr>
        <w:t>25</w:t>
      </w:r>
      <w:r>
        <w:rPr>
          <w:rFonts w:hint="eastAsia" w:ascii="宋体" w:hAnsi="宋体" w:eastAsia="宋体" w:cs="宋体"/>
          <w:b/>
          <w:bCs/>
          <w:color w:val="auto"/>
        </w:rPr>
        <w:t>日</w:t>
      </w:r>
      <w:r>
        <w:rPr>
          <w:rFonts w:hint="eastAsia" w:ascii="宋体" w:hAnsi="宋体" w:cs="宋体"/>
          <w:b/>
          <w:bCs/>
          <w:color w:val="auto"/>
          <w:lang w:val="en-US" w:eastAsia="zh-CN"/>
        </w:rPr>
        <w:t>15</w:t>
      </w:r>
      <w:r>
        <w:rPr>
          <w:rFonts w:hint="eastAsia" w:ascii="宋体" w:hAnsi="宋体" w:eastAsia="宋体" w:cs="宋体"/>
          <w:b/>
          <w:bCs/>
          <w:color w:val="auto"/>
        </w:rPr>
        <w:t>点</w:t>
      </w:r>
      <w:r>
        <w:rPr>
          <w:rFonts w:hint="eastAsia" w:ascii="宋体" w:hAnsi="宋体" w:cs="宋体"/>
          <w:b/>
          <w:bCs/>
          <w:color w:val="auto"/>
          <w:lang w:val="en-US" w:eastAsia="zh-CN"/>
        </w:rPr>
        <w:t>00</w:t>
      </w:r>
      <w:r>
        <w:rPr>
          <w:rFonts w:hint="eastAsia" w:ascii="宋体" w:hAnsi="宋体" w:eastAsia="宋体" w:cs="宋体"/>
          <w:b/>
          <w:bCs/>
          <w:color w:val="auto"/>
        </w:rPr>
        <w:t>分（北京时间）</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宋体" w:hAnsi="宋体" w:eastAsia="宋体" w:cs="宋体"/>
          <w:b/>
          <w:bCs/>
          <w:color w:val="auto"/>
        </w:rPr>
      </w:pPr>
      <w:r>
        <w:rPr>
          <w:rFonts w:hint="eastAsia" w:ascii="宋体" w:hAnsi="宋体" w:eastAsia="宋体" w:cs="宋体"/>
          <w:b/>
          <w:bCs/>
          <w:color w:val="auto"/>
        </w:rPr>
        <w:t>地点：常州市城投建设工程招标有限公司（常州市新北区通江中路396号中创大厦4楼）</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宋体" w:hAnsi="宋体" w:eastAsia="宋体" w:cs="宋体"/>
          <w:b/>
          <w:color w:val="auto"/>
        </w:rPr>
      </w:pPr>
      <w:r>
        <w:rPr>
          <w:rFonts w:hint="eastAsia" w:ascii="宋体" w:hAnsi="宋体" w:eastAsia="宋体" w:cs="宋体"/>
          <w:b/>
          <w:color w:val="auto"/>
        </w:rPr>
        <w:t>六、公告期限</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自本公告发布之日起5个工作日。</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宋体" w:hAnsi="宋体" w:eastAsia="宋体" w:cs="宋体"/>
          <w:b/>
          <w:color w:val="auto"/>
        </w:rPr>
      </w:pPr>
      <w:r>
        <w:rPr>
          <w:rFonts w:hint="eastAsia" w:ascii="宋体" w:hAnsi="宋体" w:eastAsia="宋体" w:cs="宋体"/>
          <w:b/>
          <w:color w:val="auto"/>
        </w:rPr>
        <w:t>七、其他补充事宜</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宋体" w:hAnsi="宋体" w:eastAsia="宋体" w:cs="宋体"/>
          <w:b/>
          <w:color w:val="auto"/>
          <w:szCs w:val="21"/>
        </w:rPr>
      </w:pPr>
      <w:r>
        <w:rPr>
          <w:rFonts w:hint="eastAsia" w:ascii="宋体" w:hAnsi="宋体" w:eastAsia="宋体" w:cs="宋体"/>
          <w:b/>
          <w:color w:val="auto"/>
          <w:szCs w:val="21"/>
        </w:rPr>
        <w:t>1.标前答疑</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谈判的供应商若认为竞争性谈判文件的资格要求和技术要求有倾向性或不公正性，可在响应文件提交截止期2日前以书面形式向常州市城投建设工程招标有限公司提出。对于未提出澄清要求又参与了该项目的供应商将被视为完全认同该竞争性谈判文件，响应文件提交截止期后不再受理针对竞争性谈判文件的相关质疑和投诉。传真:0519-81580105，邮箱：</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"mailto:czctzb@163.com" </w:instrText>
      </w:r>
      <w:r>
        <w:rPr>
          <w:rFonts w:hint="eastAsia" w:ascii="宋体" w:hAnsi="宋体" w:eastAsia="宋体" w:cs="宋体"/>
          <w:color w:val="auto"/>
          <w:highlight w:val="none"/>
        </w:rPr>
        <w:fldChar w:fldCharType="separate"/>
      </w:r>
      <w:r>
        <w:rPr>
          <w:rStyle w:val="25"/>
          <w:rFonts w:hint="eastAsia" w:ascii="宋体" w:hAnsi="宋体" w:eastAsia="宋体" w:cs="宋体"/>
          <w:color w:val="auto"/>
          <w:szCs w:val="21"/>
          <w:highlight w:val="none"/>
        </w:rPr>
        <w:t>czctzb@163.com</w:t>
      </w:r>
      <w:r>
        <w:rPr>
          <w:rStyle w:val="25"/>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宋体" w:hAnsi="宋体" w:eastAsia="宋体" w:cs="宋体"/>
          <w:b/>
          <w:color w:val="auto"/>
          <w:szCs w:val="21"/>
        </w:rPr>
      </w:pPr>
      <w:r>
        <w:rPr>
          <w:rFonts w:hint="eastAsia" w:ascii="宋体" w:hAnsi="宋体" w:eastAsia="宋体" w:cs="宋体"/>
          <w:b/>
          <w:color w:val="auto"/>
          <w:szCs w:val="21"/>
        </w:rPr>
        <w:t>2.谈判保证金</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szCs w:val="21"/>
        </w:rPr>
        <w:t>谈判保证金数额：</w:t>
      </w:r>
      <w:r>
        <w:rPr>
          <w:rFonts w:hint="eastAsia" w:ascii="宋体" w:hAnsi="宋体" w:eastAsia="宋体" w:cs="宋体"/>
          <w:b/>
          <w:color w:val="auto"/>
          <w:szCs w:val="21"/>
        </w:rPr>
        <w:t>人民币</w:t>
      </w:r>
      <w:r>
        <w:rPr>
          <w:rFonts w:hint="eastAsia" w:ascii="宋体" w:hAnsi="宋体" w:eastAsia="宋体" w:cs="宋体"/>
          <w:b/>
          <w:color w:val="auto"/>
          <w:szCs w:val="21"/>
          <w:lang w:eastAsia="zh-CN"/>
        </w:rPr>
        <w:t>叁</w:t>
      </w:r>
      <w:r>
        <w:rPr>
          <w:rFonts w:hint="eastAsia" w:ascii="宋体" w:hAnsi="宋体" w:eastAsia="宋体" w:cs="宋体"/>
          <w:b/>
          <w:color w:val="auto"/>
          <w:szCs w:val="21"/>
          <w:highlight w:val="none"/>
          <w:lang w:eastAsia="zh-CN"/>
        </w:rPr>
        <w:t>仟</w:t>
      </w:r>
      <w:r>
        <w:rPr>
          <w:rFonts w:hint="eastAsia" w:ascii="宋体" w:hAnsi="宋体" w:eastAsia="宋体" w:cs="宋体"/>
          <w:b/>
          <w:color w:val="auto"/>
          <w:szCs w:val="21"/>
          <w:highlight w:val="none"/>
        </w:rPr>
        <w:t>元整</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谈判保证金</w:t>
      </w:r>
      <w:r>
        <w:rPr>
          <w:rFonts w:hint="eastAsia" w:ascii="宋体" w:hAnsi="宋体" w:eastAsia="宋体" w:cs="宋体"/>
          <w:b/>
          <w:color w:val="auto"/>
          <w:szCs w:val="21"/>
          <w:highlight w:val="none"/>
        </w:rPr>
        <w:t>到账截止时间</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同谈判响应文件提交截止时间</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谈判保证金交纳方式：银行电汇或转账</w:t>
      </w:r>
      <w:r>
        <w:rPr>
          <w:rFonts w:hint="eastAsia" w:ascii="宋体" w:hAnsi="宋体" w:eastAsia="宋体" w:cs="宋体"/>
          <w:b/>
          <w:bCs/>
          <w:color w:val="auto"/>
          <w:szCs w:val="21"/>
          <w:highlight w:val="none"/>
        </w:rPr>
        <w:t>（备注项目编号）</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highlight w:val="none"/>
        </w:rPr>
        <w:t>*供应商必须自行将谈判保证金从公</w:t>
      </w:r>
      <w:r>
        <w:rPr>
          <w:rFonts w:hint="eastAsia" w:ascii="宋体" w:hAnsi="宋体" w:eastAsia="宋体" w:cs="宋体"/>
          <w:color w:val="auto"/>
          <w:szCs w:val="21"/>
        </w:rPr>
        <w:t>司账户按规定方式和时间缴至常州市城投建设工程招标有限公司账户并到账，拒绝以其它方式缴纳，禁止第三方代缴保证金，否则将被视为无效响应，其谈判响应文件将被拒绝。</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3</w:t>
      </w:r>
      <w:r>
        <w:rPr>
          <w:rFonts w:hint="eastAsia" w:ascii="宋体" w:hAnsi="宋体" w:eastAsia="宋体" w:cs="宋体"/>
          <w:b/>
          <w:bCs/>
          <w:color w:val="auto"/>
          <w:szCs w:val="21"/>
        </w:rPr>
        <w:t>.常州市城投建设工程招标有限公司账户</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收款单位：常州市城投建设工程招标有限公司</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开户银行：江苏银行常州新北支行</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银行账号：8260 0188 0002 45718</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宋体" w:hAnsi="宋体" w:eastAsia="宋体" w:cs="宋体"/>
          <w:b/>
          <w:bCs/>
          <w:color w:val="auto"/>
          <w:szCs w:val="21"/>
        </w:rPr>
      </w:pPr>
      <w:r>
        <w:rPr>
          <w:rFonts w:hint="eastAsia" w:ascii="宋体" w:hAnsi="宋体" w:eastAsia="宋体" w:cs="宋体"/>
          <w:b/>
          <w:color w:val="auto"/>
          <w:kern w:val="0"/>
          <w:szCs w:val="21"/>
          <w:lang w:val="en-US" w:eastAsia="zh-CN"/>
        </w:rPr>
        <w:t>4</w:t>
      </w:r>
      <w:r>
        <w:rPr>
          <w:rFonts w:hint="eastAsia" w:ascii="宋体" w:hAnsi="宋体" w:eastAsia="宋体" w:cs="宋体"/>
          <w:b/>
          <w:color w:val="auto"/>
          <w:kern w:val="0"/>
          <w:szCs w:val="21"/>
        </w:rPr>
        <w:t>.</w:t>
      </w:r>
      <w:r>
        <w:rPr>
          <w:rFonts w:hint="eastAsia" w:ascii="宋体" w:hAnsi="宋体" w:eastAsia="宋体" w:cs="宋体"/>
          <w:b/>
          <w:bCs/>
          <w:color w:val="auto"/>
          <w:szCs w:val="21"/>
        </w:rPr>
        <w:t>竞争性谈判文件售后一概不退。供应商提交的谈判响应文件概不退还。一经领购，供应商不得更改单位名称。</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宋体" w:hAnsi="宋体" w:eastAsia="宋体" w:cs="宋体"/>
          <w:b/>
          <w:color w:val="auto"/>
          <w:kern w:val="0"/>
          <w:szCs w:val="21"/>
        </w:rPr>
      </w:pPr>
      <w:r>
        <w:rPr>
          <w:rFonts w:hint="eastAsia" w:ascii="宋体" w:hAnsi="宋体" w:eastAsia="宋体" w:cs="宋体"/>
          <w:b/>
          <w:bCs/>
          <w:color w:val="auto"/>
          <w:szCs w:val="21"/>
          <w:lang w:val="en-US" w:eastAsia="zh-CN"/>
        </w:rPr>
        <w:t>5</w:t>
      </w:r>
      <w:r>
        <w:rPr>
          <w:rFonts w:hint="eastAsia" w:ascii="宋体" w:hAnsi="宋体" w:eastAsia="宋体" w:cs="宋体"/>
          <w:b/>
          <w:bCs/>
          <w:color w:val="auto"/>
          <w:szCs w:val="21"/>
        </w:rPr>
        <w:t>.</w:t>
      </w:r>
      <w:r>
        <w:rPr>
          <w:rFonts w:hint="eastAsia" w:ascii="宋体" w:hAnsi="宋体" w:eastAsia="宋体" w:cs="宋体"/>
          <w:b/>
          <w:color w:val="auto"/>
          <w:kern w:val="0"/>
          <w:szCs w:val="21"/>
        </w:rPr>
        <w:t>疫情防控措施</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在采购活动前，根据参与人员规模研究制定活动预案，科学安排座位间距，缩短工作时间，设置场内外提示牌，对参加人员进行体温检测、扫码核验、信息登记等工作。会议室每隔两小时通一次风，使用完毕后及时消毒。</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对于参与开评标活动的供应商、采购人授权代表，应如实填报《疫情期间参与政府采购活动开评标人员健康信息登记表》并加盖单位公章。在进入公司时，请凭《疫情期间参与政府采购活动开评标人员健康信息登记表》和本人身份证原件方能到指定开评标场所。</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3）对于参与评标活动的评审专家，在进入公司时，请主动出示当日参与项目评审项目手机短信进入指定场所。进入评标场所前，须如实填写《疫情期间参与政府采购活动开评标人员健康信息登记表》及《承诺书》。对有疫情接触史及身体发烧等症状的评标专家不得应答专家随机抽取短信而参加评标活动。</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（4）适当限制参与开评标活动人数。疫情期间，为减少人员聚集，除采购人授权代表和供应商授权代表外，其他人员原则上不安排进入开评标场所。特殊情况应事先与公司人员联系。</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5）参与采购活动的当事人应严格按照疫情期间管理要求，服从佩戴口罩、测量体温、健康信息登记等各项疫情防控规定。进场后请保持安全距离，分散等候，不得扎堆聚集，事完即走。自觉服从引导人员的指挥和管理。</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kern w:val="0"/>
          <w:szCs w:val="21"/>
        </w:rPr>
        <w:t>（6）因防控工作需要，给采购当事人带来诸多不便，还望多多理解和予以配合。</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宋体" w:hAnsi="宋体" w:eastAsia="宋体" w:cs="宋体"/>
          <w:b/>
          <w:color w:val="auto"/>
        </w:rPr>
      </w:pPr>
      <w:r>
        <w:rPr>
          <w:rFonts w:hint="eastAsia" w:ascii="宋体" w:hAnsi="宋体" w:eastAsia="宋体" w:cs="宋体"/>
          <w:b/>
          <w:color w:val="auto"/>
        </w:rPr>
        <w:t>八、凡对本次采购提出询问，请按以下方式联系。</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1.采购人信息</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名    称：</w:t>
      </w:r>
      <w:r>
        <w:rPr>
          <w:rFonts w:hint="eastAsia" w:ascii="宋体" w:hAnsi="宋体" w:cs="宋体"/>
          <w:color w:val="auto"/>
          <w:lang w:eastAsia="zh-CN"/>
        </w:rPr>
        <w:t>常州市钟楼区北港街道办事处（人民武装部）</w:t>
      </w:r>
      <w:r>
        <w:rPr>
          <w:rFonts w:hint="eastAsia" w:ascii="宋体" w:hAnsi="宋体" w:eastAsia="宋体" w:cs="宋体"/>
          <w:color w:val="auto"/>
        </w:rPr>
        <w:t>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default" w:ascii="宋体" w:hAnsi="宋体" w:eastAsia="宋体" w:cs="宋体"/>
          <w:color w:val="auto"/>
          <w:spacing w:val="2"/>
          <w:szCs w:val="21"/>
          <w:lang w:val="en-US" w:eastAsia="zh-CN"/>
        </w:rPr>
      </w:pPr>
      <w:r>
        <w:rPr>
          <w:rFonts w:hint="eastAsia" w:ascii="宋体" w:hAnsi="宋体" w:eastAsia="宋体" w:cs="宋体"/>
          <w:color w:val="auto"/>
        </w:rPr>
        <w:t>地    址：</w:t>
      </w:r>
      <w:r>
        <w:rPr>
          <w:rFonts w:hint="eastAsia" w:ascii="宋体" w:hAnsi="宋体" w:cs="宋体"/>
          <w:color w:val="auto"/>
          <w:lang w:eastAsia="zh-CN"/>
        </w:rPr>
        <w:t>常州市钟楼区梧桐路</w:t>
      </w:r>
      <w:r>
        <w:rPr>
          <w:rFonts w:hint="eastAsia" w:ascii="宋体" w:hAnsi="宋体" w:cs="宋体"/>
          <w:color w:val="auto"/>
          <w:lang w:val="en-US" w:eastAsia="zh-CN"/>
        </w:rPr>
        <w:t>2号</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联系方式：</w:t>
      </w:r>
      <w:r>
        <w:rPr>
          <w:rFonts w:hint="eastAsia" w:ascii="宋体" w:hAnsi="宋体" w:cs="宋体"/>
          <w:color w:val="auto"/>
          <w:lang w:eastAsia="zh-CN"/>
        </w:rPr>
        <w:t>顾先生</w:t>
      </w:r>
      <w:r>
        <w:rPr>
          <w:rFonts w:hint="eastAsia" w:ascii="宋体" w:hAnsi="宋体" w:cs="宋体"/>
          <w:color w:val="auto"/>
          <w:lang w:val="en-US" w:eastAsia="zh-CN"/>
        </w:rPr>
        <w:t xml:space="preserve"> 0519-88891212</w:t>
      </w:r>
      <w:r>
        <w:rPr>
          <w:rFonts w:hint="eastAsia" w:ascii="宋体" w:hAnsi="宋体" w:eastAsia="宋体" w:cs="宋体"/>
          <w:color w:val="auto"/>
        </w:rPr>
        <w:t xml:space="preserve">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2.采购代理机构信息</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名    称：常州市城投建设工程招标有限公司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地　　址：</w:t>
      </w:r>
      <w:r>
        <w:rPr>
          <w:rFonts w:hint="eastAsia" w:ascii="宋体" w:hAnsi="宋体" w:eastAsia="宋体" w:cs="宋体"/>
          <w:color w:val="auto"/>
          <w:kern w:val="0"/>
          <w:szCs w:val="21"/>
        </w:rPr>
        <w:t>常州市新北区通江中路396号中创大厦4楼</w:t>
      </w:r>
      <w:r>
        <w:rPr>
          <w:rFonts w:hint="eastAsia" w:ascii="宋体" w:hAnsi="宋体" w:eastAsia="宋体" w:cs="宋体"/>
          <w:color w:val="auto"/>
        </w:rPr>
        <w:t>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联系方式：</w:t>
      </w:r>
      <w:r>
        <w:rPr>
          <w:rFonts w:hint="eastAsia" w:ascii="宋体" w:hAnsi="宋体" w:eastAsia="宋体" w:cs="宋体"/>
          <w:color w:val="auto"/>
          <w:szCs w:val="21"/>
        </w:rPr>
        <w:t>0519-81580101</w:t>
      </w:r>
      <w:r>
        <w:rPr>
          <w:rFonts w:hint="eastAsia" w:ascii="宋体" w:hAnsi="宋体" w:eastAsia="宋体" w:cs="宋体"/>
          <w:color w:val="auto"/>
        </w:rPr>
        <w:t>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3.项目联系方式</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rPr>
        <w:t>项目联系人：</w:t>
      </w:r>
      <w:r>
        <w:rPr>
          <w:rFonts w:hint="eastAsia" w:ascii="宋体" w:hAnsi="宋体" w:eastAsia="宋体" w:cs="宋体"/>
          <w:color w:val="auto"/>
          <w:lang w:eastAsia="zh-CN"/>
        </w:rPr>
        <w:t>袁</w:t>
      </w:r>
      <w:r>
        <w:rPr>
          <w:rFonts w:hint="eastAsia" w:ascii="宋体" w:hAnsi="宋体" w:eastAsia="宋体" w:cs="宋体"/>
          <w:color w:val="auto"/>
          <w:lang w:val="en-US" w:eastAsia="zh-CN"/>
        </w:rPr>
        <w:t xml:space="preserve">  </w:t>
      </w:r>
      <w:r>
        <w:rPr>
          <w:rFonts w:hint="eastAsia" w:ascii="宋体" w:hAnsi="宋体" w:eastAsia="宋体" w:cs="宋体"/>
          <w:color w:val="auto"/>
          <w:lang w:eastAsia="zh-CN"/>
        </w:rPr>
        <w:t>婷</w:t>
      </w:r>
    </w:p>
    <w:p>
      <w:pPr>
        <w:keepNext w:val="0"/>
        <w:keepLines w:val="0"/>
        <w:pageBreakBefore w:val="0"/>
        <w:widowControl w:val="0"/>
        <w:kinsoku/>
        <w:wordWrap/>
        <w:overflowPunct w:val="0"/>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电　</w:t>
      </w:r>
      <w:r>
        <w:rPr>
          <w:rFonts w:hint="eastAsia" w:ascii="宋体" w:hAnsi="宋体" w:eastAsia="宋体" w:cs="宋体"/>
          <w:color w:val="auto"/>
          <w:lang w:val="en-US" w:eastAsia="zh-CN"/>
        </w:rPr>
        <w:t xml:space="preserve"> </w:t>
      </w:r>
      <w:r>
        <w:rPr>
          <w:rFonts w:hint="eastAsia" w:ascii="宋体" w:hAnsi="宋体" w:eastAsia="宋体" w:cs="宋体"/>
          <w:color w:val="auto"/>
        </w:rPr>
        <w:t>　 话：</w:t>
      </w:r>
      <w:r>
        <w:rPr>
          <w:rFonts w:hint="eastAsia" w:ascii="宋体" w:hAnsi="宋体" w:eastAsia="宋体" w:cs="宋体"/>
          <w:color w:val="auto"/>
          <w:szCs w:val="21"/>
        </w:rPr>
        <w:t>0519-81580152  81580191  81580192（转分机号</w:t>
      </w:r>
      <w:r>
        <w:rPr>
          <w:rFonts w:hint="eastAsia" w:ascii="宋体" w:hAnsi="宋体" w:eastAsia="宋体" w:cs="宋体"/>
          <w:color w:val="auto"/>
          <w:szCs w:val="21"/>
          <w:lang w:val="en-US" w:eastAsia="zh-CN"/>
        </w:rPr>
        <w:t>6013</w:t>
      </w:r>
      <w:r>
        <w:rPr>
          <w:rFonts w:hint="eastAsia" w:ascii="宋体" w:hAnsi="宋体" w:eastAsia="宋体" w:cs="宋体"/>
          <w:color w:val="auto"/>
          <w:szCs w:val="21"/>
        </w:rPr>
        <w:t>）</w:t>
      </w:r>
      <w:r>
        <w:rPr>
          <w:rFonts w:hint="eastAsia" w:ascii="宋体" w:hAnsi="宋体" w:eastAsia="宋体" w:cs="宋体"/>
          <w:color w:val="auto"/>
        </w:rPr>
        <w:t>　</w:t>
      </w:r>
    </w:p>
    <w:p>
      <w:pPr>
        <w:spacing w:before="100" w:after="240" w:line="500" w:lineRule="exact"/>
        <w:jc w:val="center"/>
        <w:rPr>
          <w:rFonts w:hint="eastAsia" w:ascii="宋体" w:hAnsi="宋体" w:eastAsia="宋体" w:cs="宋体"/>
          <w:b/>
          <w:color w:val="auto"/>
          <w:sz w:val="44"/>
          <w:szCs w:val="44"/>
        </w:rPr>
      </w:pPr>
    </w:p>
    <w:p>
      <w:pPr>
        <w:spacing w:before="100" w:after="240" w:line="500" w:lineRule="exact"/>
        <w:jc w:val="center"/>
        <w:rPr>
          <w:rFonts w:hint="eastAsia" w:ascii="宋体" w:hAnsi="宋体" w:eastAsia="宋体" w:cs="宋体"/>
          <w:b/>
          <w:color w:val="auto"/>
          <w:sz w:val="44"/>
          <w:szCs w:val="44"/>
        </w:rPr>
      </w:pPr>
    </w:p>
    <w:p>
      <w:pPr>
        <w:tabs>
          <w:tab w:val="left" w:pos="3480"/>
          <w:tab w:val="center" w:pos="4156"/>
        </w:tabs>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br w:type="page"/>
      </w:r>
    </w:p>
    <w:p>
      <w:pPr>
        <w:pStyle w:val="3"/>
        <w:rPr>
          <w:rFonts w:hint="eastAsia" w:ascii="宋体" w:hAnsi="宋体" w:eastAsia="宋体" w:cs="宋体"/>
          <w:color w:val="auto"/>
        </w:rPr>
      </w:pPr>
      <w:bookmarkStart w:id="1" w:name="_Toc17536925"/>
      <w:r>
        <w:rPr>
          <w:rFonts w:hint="eastAsia" w:ascii="宋体" w:hAnsi="宋体" w:eastAsia="宋体" w:cs="宋体"/>
          <w:color w:val="auto"/>
        </w:rPr>
        <w:t>第一章    总     则</w:t>
      </w:r>
      <w:bookmarkEnd w:id="1"/>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b/>
          <w:bCs/>
          <w:color w:val="auto"/>
          <w:szCs w:val="21"/>
        </w:rPr>
      </w:pPr>
      <w:r>
        <w:rPr>
          <w:rFonts w:hint="eastAsia" w:ascii="宋体" w:hAnsi="宋体" w:eastAsia="宋体" w:cs="宋体"/>
          <w:b/>
          <w:bCs/>
          <w:color w:val="auto"/>
          <w:szCs w:val="21"/>
        </w:rPr>
        <w:t>1.采购方式</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本次采购采取竞争性谈判方式，本竞争性谈判文件仅适用于谈判公告中所述项目。</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color w:val="auto"/>
          <w:szCs w:val="21"/>
        </w:rPr>
      </w:pPr>
      <w:r>
        <w:rPr>
          <w:rFonts w:hint="eastAsia" w:ascii="宋体" w:hAnsi="宋体" w:eastAsia="宋体" w:cs="宋体"/>
          <w:b/>
          <w:color w:val="auto"/>
          <w:szCs w:val="21"/>
        </w:rPr>
        <w:t>2.合格的供应商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2.1满足公告中供应商的资格要求的规定。</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2.2 满足本文件实质性条款的规定。</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color w:val="auto"/>
          <w:szCs w:val="21"/>
        </w:rPr>
      </w:pPr>
      <w:r>
        <w:rPr>
          <w:rFonts w:hint="eastAsia" w:ascii="宋体" w:hAnsi="宋体" w:eastAsia="宋体" w:cs="宋体"/>
          <w:b/>
          <w:color w:val="auto"/>
          <w:szCs w:val="21"/>
        </w:rPr>
        <w:t>3.谈判费用</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参加谈判供应商应自行承担所有与参加谈判有关的费用。无论最终成交结果如何，采购代理机构在任何情况下均无义务和责任承担这些费用。</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b/>
          <w:color w:val="auto"/>
          <w:szCs w:val="21"/>
        </w:rPr>
      </w:pPr>
      <w:r>
        <w:rPr>
          <w:rFonts w:hint="eastAsia" w:ascii="宋体" w:hAnsi="宋体" w:eastAsia="宋体" w:cs="宋体"/>
          <w:b/>
          <w:color w:val="auto"/>
          <w:szCs w:val="21"/>
        </w:rPr>
        <w:t>4.竞争性谈判文件的组成</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本文件及依法对本文件所作的更正内容均为竞争性谈判文件的组成部分。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供应商应仔细检查竞争性谈判文件是否齐全，如有缺漏，立即与代理机构联系解决。</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供应商应认真阅读竞争性谈判文件中所有的事项、格式、条款和规范等要求。按竞争性谈判文件要求和规定编制谈判响应文件，并保证所提供的全部资料的真实性，以使其谈判响应文件对竞争性谈判文件作出实质性响应，否则其风险由供应商自行承担。</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供应商一旦参加本项目采购活动，即被认为接受了本竞争性谈判文件的规定和约束。</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b/>
          <w:color w:val="auto"/>
          <w:szCs w:val="21"/>
        </w:rPr>
      </w:pPr>
      <w:r>
        <w:rPr>
          <w:rFonts w:hint="eastAsia" w:ascii="宋体" w:hAnsi="宋体" w:eastAsia="宋体" w:cs="宋体"/>
          <w:b/>
          <w:color w:val="auto"/>
          <w:szCs w:val="21"/>
        </w:rPr>
        <w:t>5.竞争性谈判文件的补充、澄清、更正</w:t>
      </w:r>
    </w:p>
    <w:p>
      <w:pPr>
        <w:keepNext w:val="0"/>
        <w:keepLines w:val="0"/>
        <w:pageBreakBefore w:val="0"/>
        <w:widowControl w:val="0"/>
        <w:kinsoku/>
        <w:wordWrap/>
        <w:topLinePunct w:val="0"/>
        <w:bidi w:val="0"/>
        <w:adjustRightInd w:val="0"/>
        <w:snapToGrid w:val="0"/>
        <w:spacing w:line="360" w:lineRule="exact"/>
        <w:ind w:firstLine="420"/>
        <w:textAlignment w:val="auto"/>
        <w:rPr>
          <w:rFonts w:hint="eastAsia" w:ascii="宋体" w:hAnsi="宋体" w:eastAsia="宋体" w:cs="宋体"/>
          <w:bCs/>
          <w:color w:val="auto"/>
          <w:szCs w:val="21"/>
        </w:rPr>
      </w:pPr>
      <w:r>
        <w:rPr>
          <w:rFonts w:hint="eastAsia" w:ascii="宋体" w:hAnsi="宋体" w:eastAsia="宋体" w:cs="宋体"/>
          <w:bCs/>
          <w:color w:val="auto"/>
          <w:szCs w:val="21"/>
        </w:rPr>
        <w:t>5.1 代理机构向供应商提供的有关资料和数据，是代理机构现有的能使供应商利用的资料。代理机构对供应商由此而作出的推论、理解和结论概不负责。供应商由于对竞争性谈判文件的任何推论和误解以及采购人对有关问题的口头解释所造成的后果，均由供应商自负。</w:t>
      </w:r>
    </w:p>
    <w:p>
      <w:pPr>
        <w:keepNext w:val="0"/>
        <w:keepLines w:val="0"/>
        <w:pageBreakBefore w:val="0"/>
        <w:widowControl w:val="0"/>
        <w:kinsoku/>
        <w:wordWrap/>
        <w:topLinePunct w:val="0"/>
        <w:bidi w:val="0"/>
        <w:adjustRightInd w:val="0"/>
        <w:snapToGrid w:val="0"/>
        <w:spacing w:line="360" w:lineRule="exact"/>
        <w:ind w:firstLine="420"/>
        <w:textAlignment w:val="auto"/>
        <w:rPr>
          <w:rFonts w:hint="eastAsia" w:ascii="宋体" w:hAnsi="宋体" w:eastAsia="宋体" w:cs="宋体"/>
          <w:b/>
          <w:bCs/>
          <w:color w:val="auto"/>
          <w:szCs w:val="21"/>
        </w:rPr>
      </w:pPr>
      <w:r>
        <w:rPr>
          <w:rFonts w:hint="eastAsia" w:ascii="宋体" w:hAnsi="宋体" w:eastAsia="宋体" w:cs="宋体"/>
          <w:bCs/>
          <w:color w:val="auto"/>
          <w:szCs w:val="21"/>
        </w:rPr>
        <w:t>5.2供应商提出的与谈判有关的任何问题须在收到竞争性谈判文件后，按规定时间以书面形式提交至采购代理机构，未以书面形式提出或逾期提出的异议将不被接受。</w:t>
      </w:r>
      <w:r>
        <w:rPr>
          <w:rFonts w:hint="eastAsia" w:ascii="宋体" w:hAnsi="宋体" w:eastAsia="宋体" w:cs="宋体"/>
          <w:color w:val="auto"/>
          <w:szCs w:val="21"/>
        </w:rPr>
        <w:t>如无疑问，视作供应商完全响应竞争性谈判文件的条款和要求。</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bCs/>
          <w:color w:val="auto"/>
          <w:szCs w:val="21"/>
        </w:rPr>
      </w:pPr>
      <w:r>
        <w:rPr>
          <w:rFonts w:hint="eastAsia" w:ascii="宋体" w:hAnsi="宋体" w:eastAsia="宋体" w:cs="宋体"/>
          <w:bCs/>
          <w:color w:val="auto"/>
          <w:szCs w:val="21"/>
        </w:rPr>
        <w:t>5.3采购人及代理机构有权对已发出的竞争性谈判文件进行必要的澄清或更正。</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bCs/>
          <w:color w:val="auto"/>
          <w:szCs w:val="21"/>
        </w:rPr>
      </w:pPr>
      <w:r>
        <w:rPr>
          <w:rFonts w:hint="eastAsia" w:ascii="宋体" w:hAnsi="宋体" w:eastAsia="宋体" w:cs="宋体"/>
          <w:bCs/>
          <w:color w:val="auto"/>
          <w:szCs w:val="21"/>
        </w:rPr>
        <w:t>5.4采购人可视具体情况，延长谈判响应文件提交截止时间和谈判时间。</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hint="eastAsia" w:ascii="宋体" w:hAnsi="宋体" w:eastAsia="宋体" w:cs="宋体"/>
          <w:b/>
          <w:bCs/>
          <w:color w:val="auto"/>
          <w:szCs w:val="21"/>
        </w:rPr>
      </w:pPr>
      <w:r>
        <w:rPr>
          <w:rFonts w:hint="eastAsia" w:ascii="宋体" w:hAnsi="宋体" w:eastAsia="宋体" w:cs="宋体"/>
          <w:b/>
          <w:bCs/>
          <w:color w:val="auto"/>
          <w:szCs w:val="21"/>
        </w:rPr>
        <w:t>5.5所有有关</w:t>
      </w:r>
      <w:r>
        <w:rPr>
          <w:rFonts w:hint="eastAsia" w:ascii="宋体" w:hAnsi="宋体" w:eastAsia="宋体" w:cs="宋体"/>
          <w:b/>
          <w:color w:val="auto"/>
          <w:szCs w:val="21"/>
        </w:rPr>
        <w:t>竞争性谈判文件的补充、澄清、更正将在</w:t>
      </w:r>
      <w:r>
        <w:rPr>
          <w:rFonts w:hint="eastAsia" w:ascii="宋体" w:hAnsi="宋体" w:eastAsia="宋体" w:cs="宋体"/>
          <w:b/>
          <w:color w:val="auto"/>
          <w:szCs w:val="21"/>
          <w:highlight w:val="none"/>
        </w:rPr>
        <w:t>中国招投标网和</w:t>
      </w:r>
      <w:r>
        <w:rPr>
          <w:rFonts w:hint="eastAsia" w:ascii="宋体" w:hAnsi="宋体" w:eastAsia="宋体" w:cs="宋体"/>
          <w:b/>
          <w:color w:val="auto"/>
          <w:szCs w:val="21"/>
        </w:rPr>
        <w:t>常州市城投建设工程招标有限公司网公告。上述内容将作为竞争性谈判文件的组成部分，并对供应商具有约束力，由供应商自行关注并获取。</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b/>
          <w:color w:val="auto"/>
          <w:szCs w:val="21"/>
        </w:rPr>
      </w:pPr>
      <w:r>
        <w:rPr>
          <w:rFonts w:hint="eastAsia" w:ascii="宋体" w:hAnsi="宋体" w:eastAsia="宋体" w:cs="宋体"/>
          <w:b/>
          <w:color w:val="auto"/>
          <w:szCs w:val="21"/>
        </w:rPr>
        <w:t>6.供应商的义务</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6.1 供应商应当认真阅读竞争性谈判文件，完全明了采购项目的内容。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6.2 供应商应当按照竞争性谈判文件的要求编制谈判响应文件。谈判响应文件应对竞争性谈判文件提出的实质性要求和条件作出完全响应。</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6.3 供应商应在谈判响应文件提交截止时间前，将密封的谈判响应文件送达谈判地点。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6.4 供应商不得相互串通谈判报价，不得排挤其他供应商的公平竞争，损害采购人或者其他供应商合法权益。供应商不得与采购人串通，损害国家利益，公众利益或者他人的合法权益。</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color w:val="auto"/>
          <w:szCs w:val="21"/>
        </w:rPr>
      </w:pPr>
      <w:r>
        <w:rPr>
          <w:rFonts w:hint="eastAsia" w:ascii="宋体" w:hAnsi="宋体" w:eastAsia="宋体" w:cs="宋体"/>
          <w:b/>
          <w:color w:val="auto"/>
          <w:szCs w:val="21"/>
        </w:rPr>
        <w:t>7.谈判报价</w:t>
      </w:r>
    </w:p>
    <w:p>
      <w:pPr>
        <w:keepNext w:val="0"/>
        <w:keepLines w:val="0"/>
        <w:pageBreakBefore w:val="0"/>
        <w:widowControl w:val="0"/>
        <w:tabs>
          <w:tab w:val="left" w:pos="284"/>
        </w:tabs>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7.1 本项目谈判报价应包括完成该项货物或者服务项目所涉及到的一切相关费用，采购人不再支付其他任何费用。</w:t>
      </w:r>
    </w:p>
    <w:p>
      <w:pPr>
        <w:keepNext w:val="0"/>
        <w:keepLines w:val="0"/>
        <w:pageBreakBefore w:val="0"/>
        <w:widowControl w:val="0"/>
        <w:tabs>
          <w:tab w:val="left" w:pos="284"/>
        </w:tabs>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7.2 谈判报价方式</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7.2.1 供应商应按照竞争性谈判文件中提供的格式完整填写报价一览表。报价一览表中的报价应与谈判分项报价表的总价完全一致，如有不一致的，以报价一览表的报价为准。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供应商填报谈判分项报价表时，每一单项均应计算并填写单价和总价，该表由法定代表人或代理人签署。供应商未填单价或合价的项目，在实施后，采购人将不予支付，并视为该项费用已包括在其它有价款的单价或合价内。一项内容只允许一个报价，不接受任何有选择性的谈判报价。</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7.2.2报价货币为人民币，评审时以人民币为准。</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hint="eastAsia" w:ascii="宋体" w:hAnsi="宋体" w:eastAsia="宋体" w:cs="宋体"/>
          <w:b/>
          <w:color w:val="auto"/>
          <w:szCs w:val="21"/>
        </w:rPr>
      </w:pPr>
      <w:r>
        <w:rPr>
          <w:rFonts w:hint="eastAsia" w:ascii="宋体" w:hAnsi="宋体" w:eastAsia="宋体" w:cs="宋体"/>
          <w:b/>
          <w:color w:val="auto"/>
          <w:szCs w:val="21"/>
        </w:rPr>
        <w:t>7.2.3谈判报价高于最高限价的作为无效响应处理。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7.2.4谈判报价次数：</w:t>
      </w:r>
      <w:r>
        <w:rPr>
          <w:rFonts w:hint="eastAsia" w:ascii="宋体" w:hAnsi="宋体" w:eastAsia="宋体" w:cs="宋体"/>
          <w:b/>
          <w:color w:val="auto"/>
          <w:szCs w:val="21"/>
        </w:rPr>
        <w:t>本项目采用至少二次报价，</w:t>
      </w:r>
      <w:r>
        <w:rPr>
          <w:rFonts w:hint="eastAsia" w:ascii="宋体" w:hAnsi="宋体" w:eastAsia="宋体" w:cs="宋体"/>
          <w:color w:val="auto"/>
          <w:szCs w:val="21"/>
        </w:rPr>
        <w:t>谈判响应文件报价一览表的报价作为首次报价，在谈判结束后，谈判小组应当要求所有实质性响应的供应商在规定时间内提交最后报价，最后报价作为评审依据。</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color w:val="auto"/>
          <w:szCs w:val="21"/>
        </w:rPr>
      </w:pPr>
      <w:r>
        <w:rPr>
          <w:rFonts w:hint="eastAsia" w:ascii="宋体" w:hAnsi="宋体" w:eastAsia="宋体" w:cs="宋体"/>
          <w:b/>
          <w:color w:val="auto"/>
          <w:szCs w:val="21"/>
        </w:rPr>
        <w:t>8.谈判响应文件的组成</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bCs/>
          <w:color w:val="auto"/>
          <w:szCs w:val="21"/>
        </w:rPr>
      </w:pPr>
      <w:r>
        <w:rPr>
          <w:rFonts w:hint="eastAsia" w:ascii="宋体" w:hAnsi="宋体" w:eastAsia="宋体" w:cs="宋体"/>
          <w:color w:val="auto"/>
          <w:szCs w:val="21"/>
        </w:rPr>
        <w:t xml:space="preserve"> 详见第五章《谈判响应文件的组成》</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color w:val="auto"/>
          <w:szCs w:val="21"/>
        </w:rPr>
      </w:pPr>
      <w:r>
        <w:rPr>
          <w:rFonts w:hint="eastAsia" w:ascii="宋体" w:hAnsi="宋体" w:eastAsia="宋体" w:cs="宋体"/>
          <w:b/>
          <w:color w:val="auto"/>
          <w:szCs w:val="21"/>
        </w:rPr>
        <w:t>9.谈判保证金</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9.1谈判保证金是谈判响应文件的一个组成部分，供应商须按规定从供应商账户缴纳。谈判时，未按要求缴纳保证金的视为无效响应。</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b/>
          <w:color w:val="auto"/>
          <w:szCs w:val="21"/>
        </w:rPr>
      </w:pPr>
      <w:r>
        <w:rPr>
          <w:rFonts w:hint="eastAsia" w:ascii="宋体" w:hAnsi="宋体" w:eastAsia="宋体" w:cs="宋体"/>
          <w:color w:val="auto"/>
          <w:szCs w:val="21"/>
        </w:rPr>
        <w:t>9.2未成交供应商的保证金将在成交通知书发出后五个工作日内退还。</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b/>
          <w:color w:val="auto"/>
          <w:szCs w:val="21"/>
        </w:rPr>
      </w:pPr>
      <w:r>
        <w:rPr>
          <w:rFonts w:hint="eastAsia" w:ascii="宋体" w:hAnsi="宋体" w:eastAsia="宋体" w:cs="宋体"/>
          <w:color w:val="auto"/>
          <w:szCs w:val="21"/>
        </w:rPr>
        <w:t>9.3成交供应商的谈判保证金将在其合同签约完毕（合同须由代理机构备案）后五个工作日内退还。</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b/>
          <w:color w:val="auto"/>
          <w:szCs w:val="21"/>
        </w:rPr>
      </w:pPr>
      <w:r>
        <w:rPr>
          <w:rFonts w:hint="eastAsia" w:ascii="宋体" w:hAnsi="宋体" w:eastAsia="宋体" w:cs="宋体"/>
          <w:color w:val="auto"/>
          <w:szCs w:val="21"/>
        </w:rPr>
        <w:t>9.4供应商出现下列情况之一的，取消其成交资格，</w:t>
      </w:r>
      <w:r>
        <w:rPr>
          <w:rFonts w:hint="eastAsia" w:ascii="宋体" w:hAnsi="宋体" w:eastAsia="宋体" w:cs="宋体"/>
          <w:b/>
          <w:color w:val="auto"/>
          <w:szCs w:val="21"/>
        </w:rPr>
        <w:t>并没收其谈判保证金：</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9.4.1供应商在谈判有效期内撤回其谈判响应文件；</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9.4.2成交供应商未能在竞争性谈判文件规定的期限提交履约担保；</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9.4.3成交供应商无正当理由拒绝签订合同或者由于供应商的原因导致成交无效的；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9.4.4供应商提供的有关资料、资格证明文件被确认是不真实的或供应商之间被证实有串通（统一哄抬价格）、欺诈行为；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9.4.5供应商被证明有妨碍其他人公平竞争、损害代理机构或者其他供应商合法权益的；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9.4.6法律法规认定的其他情形。</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color w:val="auto"/>
          <w:szCs w:val="21"/>
        </w:rPr>
      </w:pPr>
      <w:r>
        <w:rPr>
          <w:rFonts w:hint="eastAsia" w:ascii="宋体" w:hAnsi="宋体" w:eastAsia="宋体" w:cs="宋体"/>
          <w:b/>
          <w:color w:val="auto"/>
          <w:szCs w:val="21"/>
        </w:rPr>
        <w:t>10.谈判响应文件的制作</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10.l供应商应提交</w:t>
      </w:r>
      <w:r>
        <w:rPr>
          <w:rFonts w:hint="eastAsia" w:ascii="宋体" w:hAnsi="宋体" w:eastAsia="宋体" w:cs="宋体"/>
          <w:b/>
          <w:color w:val="auto"/>
          <w:szCs w:val="21"/>
          <w:u w:val="single"/>
        </w:rPr>
        <w:t>装订的谈判响应文件</w:t>
      </w:r>
      <w:r>
        <w:rPr>
          <w:rFonts w:hint="eastAsia" w:ascii="宋体" w:hAnsi="宋体" w:eastAsia="宋体" w:cs="宋体"/>
          <w:b/>
          <w:bCs/>
          <w:color w:val="auto"/>
          <w:szCs w:val="21"/>
          <w:u w:val="single"/>
        </w:rPr>
        <w:t>壹份“正本”、贰份“副本”、壹份“电子光盘”（光盘中含全套正本谈判响应文件）</w:t>
      </w:r>
      <w:r>
        <w:rPr>
          <w:rFonts w:hint="eastAsia" w:ascii="宋体" w:hAnsi="宋体" w:eastAsia="宋体" w:cs="宋体"/>
          <w:b/>
          <w:color w:val="auto"/>
          <w:szCs w:val="21"/>
          <w:u w:val="single"/>
        </w:rPr>
        <w:t>。</w:t>
      </w:r>
      <w:r>
        <w:rPr>
          <w:rFonts w:hint="eastAsia" w:ascii="宋体" w:hAnsi="宋体" w:eastAsia="宋体" w:cs="宋体"/>
          <w:color w:val="auto"/>
          <w:szCs w:val="21"/>
        </w:rPr>
        <w:t>谈判响应文件正本和副本如有不一致之处，以正本为准。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10.2谈判响应文件正本、副本必须全部是打印件。供应商应按照要求签字、盖章。</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10.3谈判响应文件应无涂改和行间插字，供应商造成的必须修改的错误，修改处应加盖供应商公章，并由谈判响应文件法定代表人或代理人签字或盖章，否则修改无效。</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b/>
          <w:color w:val="auto"/>
          <w:szCs w:val="21"/>
        </w:rPr>
      </w:pPr>
      <w:r>
        <w:rPr>
          <w:rFonts w:hint="eastAsia" w:ascii="宋体" w:hAnsi="宋体" w:eastAsia="宋体" w:cs="宋体"/>
          <w:color w:val="auto"/>
          <w:szCs w:val="21"/>
        </w:rPr>
        <w:t>10.4</w:t>
      </w:r>
      <w:r>
        <w:rPr>
          <w:rFonts w:hint="eastAsia" w:ascii="宋体" w:hAnsi="宋体" w:eastAsia="宋体" w:cs="宋体"/>
          <w:b/>
          <w:color w:val="auto"/>
          <w:szCs w:val="21"/>
        </w:rPr>
        <w:t>本文件所表述（指定）的公章是指法定名称章，不包括合同专用章、业务专用章等印章；盖章是指加盖鲜章。</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b/>
          <w:color w:val="auto"/>
          <w:szCs w:val="21"/>
        </w:rPr>
      </w:pPr>
      <w:r>
        <w:rPr>
          <w:rFonts w:hint="eastAsia" w:ascii="宋体" w:hAnsi="宋体" w:eastAsia="宋体" w:cs="宋体"/>
          <w:b/>
          <w:color w:val="auto"/>
          <w:szCs w:val="21"/>
        </w:rPr>
        <w:t>11.谈判响应文件的有效期</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谈判响应文件有效期为规定的谈判之日后</w:t>
      </w:r>
      <w:r>
        <w:rPr>
          <w:rFonts w:hint="eastAsia" w:ascii="宋体" w:hAnsi="宋体" w:eastAsia="宋体" w:cs="宋体"/>
          <w:b/>
          <w:color w:val="auto"/>
          <w:szCs w:val="21"/>
          <w:u w:val="single"/>
        </w:rPr>
        <w:t>六十（60）天</w:t>
      </w:r>
      <w:r>
        <w:rPr>
          <w:rFonts w:hint="eastAsia" w:ascii="宋体" w:hAnsi="宋体" w:eastAsia="宋体" w:cs="宋体"/>
          <w:color w:val="auto"/>
          <w:szCs w:val="21"/>
        </w:rPr>
        <w:t>。谈判响应文件有效期比规定短的将被视为无效响应而予以拒绝。</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color w:val="auto"/>
          <w:szCs w:val="21"/>
        </w:rPr>
      </w:pPr>
      <w:r>
        <w:rPr>
          <w:rFonts w:hint="eastAsia" w:ascii="宋体" w:hAnsi="宋体" w:eastAsia="宋体" w:cs="宋体"/>
          <w:b/>
          <w:color w:val="auto"/>
          <w:szCs w:val="21"/>
        </w:rPr>
        <w:t>12.谈判响应文件的密封</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谈判响应文件</w:t>
      </w:r>
      <w:r>
        <w:rPr>
          <w:rFonts w:hint="eastAsia" w:ascii="宋体" w:hAnsi="宋体" w:eastAsia="宋体" w:cs="宋体"/>
          <w:b/>
          <w:color w:val="auto"/>
          <w:szCs w:val="21"/>
        </w:rPr>
        <w:t>正本和副本应当密封，电子光盘应当单独密封，</w:t>
      </w:r>
      <w:r>
        <w:rPr>
          <w:rFonts w:hint="eastAsia" w:ascii="宋体" w:hAnsi="宋体" w:eastAsia="宋体" w:cs="宋体"/>
          <w:color w:val="auto"/>
          <w:szCs w:val="21"/>
        </w:rPr>
        <w:t>所有封袋上都应当加盖供应商公章。</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b/>
          <w:color w:val="auto"/>
          <w:szCs w:val="21"/>
        </w:rPr>
      </w:pPr>
      <w:r>
        <w:rPr>
          <w:rFonts w:hint="eastAsia" w:ascii="宋体" w:hAnsi="宋体" w:eastAsia="宋体" w:cs="宋体"/>
          <w:b/>
          <w:color w:val="auto"/>
          <w:szCs w:val="21"/>
        </w:rPr>
        <w:t>13.谈判响应文件提交截止时间及地点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供应商应在规定的截止日期和时间之前将谈判响应文件提交至公告中注明的地点，凡逾期送达的谈判响应文件将不予接收。</w:t>
      </w:r>
    </w:p>
    <w:p>
      <w:pPr>
        <w:keepNext w:val="0"/>
        <w:keepLines w:val="0"/>
        <w:pageBreakBefore w:val="0"/>
        <w:widowControl w:val="0"/>
        <w:kinsoku/>
        <w:wordWrap/>
        <w:topLinePunct w:val="0"/>
        <w:bidi w:val="0"/>
        <w:adjustRightInd w:val="0"/>
        <w:snapToGrid w:val="0"/>
        <w:spacing w:line="360" w:lineRule="exact"/>
        <w:ind w:firstLine="430" w:firstLineChars="200"/>
        <w:textAlignment w:val="auto"/>
        <w:rPr>
          <w:rFonts w:hint="eastAsia" w:ascii="宋体" w:hAnsi="宋体" w:eastAsia="宋体" w:cs="宋体"/>
          <w:b/>
          <w:color w:val="auto"/>
          <w:spacing w:val="2"/>
          <w:szCs w:val="21"/>
        </w:rPr>
      </w:pPr>
      <w:r>
        <w:rPr>
          <w:rFonts w:hint="eastAsia" w:ascii="宋体" w:hAnsi="宋体" w:eastAsia="宋体" w:cs="宋体"/>
          <w:b/>
          <w:color w:val="auto"/>
          <w:spacing w:val="2"/>
          <w:szCs w:val="21"/>
        </w:rPr>
        <w:t>供应商在提交谈判响应文件时须提供有效的法定代表人或代理人身份证原件，未提供的，代理机构不接收其谈判响应文件。</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color w:val="auto"/>
          <w:szCs w:val="21"/>
        </w:rPr>
      </w:pPr>
      <w:r>
        <w:rPr>
          <w:rFonts w:hint="eastAsia" w:ascii="宋体" w:hAnsi="宋体" w:eastAsia="宋体" w:cs="宋体"/>
          <w:b/>
          <w:color w:val="auto"/>
          <w:szCs w:val="21"/>
        </w:rPr>
        <w:t>14.谈判响应文件的修改和撤回</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供应商在提交谈判响应文件后，可以修改或撤回其谈判响应文件，但这种修改和撤回，必须在规定的谈判响应文件提交截止时间前，以书面形式通知代理机构。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供应商的修改或撤回文件应按规定进行编制、密封、标记和提交，并应在封套上加注“修改”或“撤回”字样。上述补充或修改若涉及谈判报价，必须注明“最后唯一报价”字样，否则将视为有选择的报价。修改文件必须在谈判响应文件提交截止时间前送达谈判地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在谈判响应文件提交截止时间之后，供应商不得对其谈判响应文件作任何修改。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在谈判响应文件提交截止时间至竞争性谈判文件中规定的投标有效期满之间的这段时间内，供应商不得撤回其谈判响应，否则其谈判保证金将不予退还。</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b/>
          <w:color w:val="auto"/>
          <w:szCs w:val="21"/>
        </w:rPr>
      </w:pPr>
      <w:r>
        <w:rPr>
          <w:rFonts w:hint="eastAsia" w:ascii="宋体" w:hAnsi="宋体" w:eastAsia="宋体" w:cs="宋体"/>
          <w:b/>
          <w:color w:val="auto"/>
          <w:szCs w:val="21"/>
        </w:rPr>
        <w:t>15.谈判仪式</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15.1代理机构按谈判公告中规定的时间、地点组织谈判开始仪式。</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15.2供应商参加谈判仪式的应由法定代表人或委托代理人携带</w:t>
      </w:r>
      <w:r>
        <w:rPr>
          <w:rFonts w:hint="eastAsia" w:ascii="宋体" w:hAnsi="宋体" w:eastAsia="宋体" w:cs="宋体"/>
          <w:b/>
          <w:color w:val="auto"/>
          <w:szCs w:val="21"/>
        </w:rPr>
        <w:t>本人有效的身份证原件</w:t>
      </w:r>
      <w:r>
        <w:rPr>
          <w:rFonts w:hint="eastAsia" w:ascii="宋体" w:hAnsi="宋体" w:eastAsia="宋体" w:cs="宋体"/>
          <w:color w:val="auto"/>
          <w:szCs w:val="21"/>
        </w:rPr>
        <w:t>准时参加，并签名报到以证明其出席。</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b/>
          <w:color w:val="auto"/>
          <w:szCs w:val="21"/>
        </w:rPr>
      </w:pPr>
      <w:r>
        <w:rPr>
          <w:rFonts w:hint="eastAsia" w:ascii="宋体" w:hAnsi="宋体" w:eastAsia="宋体" w:cs="宋体"/>
          <w:b/>
          <w:color w:val="auto"/>
          <w:szCs w:val="21"/>
        </w:rPr>
        <w:t>16.谈判小组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16.1谈判开始仪式结束后，代理机构将组织谈判小组进行评审。谈判小组由采购人代表和评审专家组成，且人员构成符合相关规定。谈判小组独立工作，负责评审所有谈判响应文件并确定成交侯选人。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16.2 谈判小组负责具体的评审事务，并独立履行以下职责：</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16.2.1 审查、评价谈判响应文件是否符合竞争性谈判文件的商务、技术等实质性要求；</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16.2.2 要求供应商对谈判响应文件有关事项作出澄清或者说明；</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16.2.3 对谈判响应文件进行比较和评价；</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16.2.4 推荐或确定成交候选人；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16.2.5 向采购人、采购代理机构或者有关部门报告评审中发现的违法行为。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16.3 谈判小组成员应当履行下列义务：</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16.3.1遵纪守法，客观、公正、廉洁地履行职责；</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16.3.2按照竞争性谈判文件规定的评审办法和评分标准进行评审，对评审意见承担个人责任；</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16.3.3对评审过程和结果，以及供应商的商业秘密保密；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16.3.4负责评审报告的起草；</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16.3.5配合相关部门的投诉处理工作；</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16.3.6配合代理机构答复供应商对成交结果提出的质疑。</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b/>
          <w:color w:val="auto"/>
          <w:szCs w:val="21"/>
        </w:rPr>
      </w:pPr>
      <w:r>
        <w:rPr>
          <w:rFonts w:hint="eastAsia" w:ascii="宋体" w:hAnsi="宋体" w:eastAsia="宋体" w:cs="宋体"/>
          <w:b/>
          <w:color w:val="auto"/>
          <w:szCs w:val="21"/>
        </w:rPr>
        <w:t>17.评审内容的保密</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17.1谈判开始后，直到宣布授予成交供应商合同为止，凡属于审查、澄清、评价和比较谈判响应文件的所有资料，有关授予合同的信息都不应向供应商或与评审无关的其他人泄露。</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17.2在评审过程中，供应商不得以任何行为影响评审过程，否则其谈判响应文件将被作为无效谈判响应文件。</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17.3在评审期间，代理机构将设专门人员与供应商联系。</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17.4代理机构和谈判小组不向未成交的供应商解释未成交原因，也不公布评审过程中的相关细节。</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b/>
          <w:color w:val="auto"/>
          <w:szCs w:val="21"/>
        </w:rPr>
      </w:pPr>
      <w:r>
        <w:rPr>
          <w:rFonts w:hint="eastAsia" w:ascii="宋体" w:hAnsi="宋体" w:eastAsia="宋体" w:cs="宋体"/>
          <w:b/>
          <w:color w:val="auto"/>
          <w:szCs w:val="21"/>
        </w:rPr>
        <w:t>18.对谈判响应文件的审查</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谈判响应文件初审分为资格审查和符合性审查。</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18.1资格审查：依据法律法规和竞争性谈判文件的规定，对谈判响应文件中的资格证明文件进行审查。</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18.2 符合性审查：依据竞争性谈判文件的规定，由谈判小组从谈判响应文件的有效性、完整性和对竞争性谈判文件的响应程度进行审查，以确定是否对竞争性谈判文件的实质性要求作出响应。</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在正式谈判之前，谈判小组将首先审查每份谈判响应文件是否实质性响应了竞争性谈判文件的要求。实质性响应的谈判响应文件应该是与竞争性谈判文件要求的条款、条件和规格相符，没有重大负偏离或保留。</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所谓重大偏离或保留是指与竞争性谈判文件规定的实质性要求存在负偏离，或者在实质上与竞争性谈判文件不一致，而且限制了合同中采购人和见证方的权利或供应商的义务，纠正这些偏离或保留将会对其他实质性响应要求的供应商的竞争地位产生不公正的影响。重大偏离的认定需经过谈判小组三分二及以上成员的认定。评委决定谈判响应文件的响应性只根据谈判响应文件本身的内容，而不寻求外部的证据。如果谈判响应文件实质上没有响应竞争性谈判文件的要求，谈判小组将予以拒绝，供应商不得通过修改或撤销不合要求的偏离或保留而使其谈判响应文件成为实质性响应。</w:t>
      </w:r>
    </w:p>
    <w:p>
      <w:pPr>
        <w:pStyle w:val="6"/>
        <w:keepNext w:val="0"/>
        <w:keepLines w:val="0"/>
        <w:pageBreakBefore w:val="0"/>
        <w:widowControl w:val="0"/>
        <w:kinsoku/>
        <w:wordWrap/>
        <w:overflowPunct w:val="0"/>
        <w:topLinePunct w:val="0"/>
        <w:bidi w:val="0"/>
        <w:adjustRightInd w:val="0"/>
        <w:snapToGrid w:val="0"/>
        <w:spacing w:line="3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18.3谈判响应文件出现下列情况之一的，将作为无效谈判响应文件处理</w:t>
      </w:r>
      <w:r>
        <w:rPr>
          <w:rFonts w:hint="eastAsia" w:ascii="宋体" w:hAnsi="宋体" w:eastAsia="宋体" w:cs="宋体"/>
          <w:color w:val="auto"/>
          <w:sz w:val="21"/>
          <w:szCs w:val="21"/>
        </w:rPr>
        <w:t xml:space="preserve">： </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hint="eastAsia" w:ascii="宋体" w:hAnsi="宋体" w:eastAsia="宋体" w:cs="宋体"/>
          <w:color w:val="auto"/>
          <w:szCs w:val="21"/>
        </w:rPr>
      </w:pPr>
      <w:r>
        <w:rPr>
          <w:rFonts w:hint="eastAsia" w:ascii="宋体" w:hAnsi="宋体" w:eastAsia="宋体" w:cs="宋体"/>
          <w:color w:val="auto"/>
          <w:szCs w:val="21"/>
        </w:rPr>
        <w:t>18.3.1供应商未通过领购申请的或者在名称上和法人地位上与领购情况发生实质性改变的；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hint="eastAsia" w:ascii="宋体" w:hAnsi="宋体" w:eastAsia="宋体" w:cs="宋体"/>
          <w:color w:val="auto"/>
          <w:szCs w:val="21"/>
        </w:rPr>
      </w:pPr>
      <w:r>
        <w:rPr>
          <w:rFonts w:hint="eastAsia" w:ascii="宋体" w:hAnsi="宋体" w:eastAsia="宋体" w:cs="宋体"/>
          <w:color w:val="auto"/>
          <w:szCs w:val="21"/>
        </w:rPr>
        <w:t>18.3.2未按竞争性谈判文件要求缴纳谈判保证金的；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hint="eastAsia" w:ascii="宋体" w:hAnsi="宋体" w:eastAsia="宋体" w:cs="宋体"/>
          <w:color w:val="auto"/>
          <w:szCs w:val="21"/>
        </w:rPr>
      </w:pPr>
      <w:r>
        <w:rPr>
          <w:rFonts w:hint="eastAsia" w:ascii="宋体" w:hAnsi="宋体" w:eastAsia="宋体" w:cs="宋体"/>
          <w:color w:val="auto"/>
          <w:szCs w:val="21"/>
        </w:rPr>
        <w:t>18.3.3谈判响应文件提交时未按规定密封、盖章的，电子光盘未提供或未单独密封的；</w:t>
      </w:r>
    </w:p>
    <w:p>
      <w:pPr>
        <w:keepNext w:val="0"/>
        <w:keepLines w:val="0"/>
        <w:pageBreakBefore w:val="0"/>
        <w:widowControl w:val="0"/>
        <w:kinsoku/>
        <w:wordWrap/>
        <w:topLinePunct w:val="0"/>
        <w:bidi w:val="0"/>
        <w:adjustRightInd w:val="0"/>
        <w:snapToGrid w:val="0"/>
        <w:spacing w:line="360" w:lineRule="exact"/>
        <w:ind w:firstLine="439" w:firstLineChars="208"/>
        <w:textAlignment w:val="auto"/>
        <w:rPr>
          <w:rFonts w:hint="eastAsia" w:ascii="宋体" w:hAnsi="宋体" w:eastAsia="宋体" w:cs="宋体"/>
          <w:b/>
          <w:color w:val="auto"/>
          <w:szCs w:val="21"/>
        </w:rPr>
      </w:pPr>
      <w:r>
        <w:rPr>
          <w:rFonts w:hint="eastAsia" w:ascii="宋体" w:hAnsi="宋体" w:eastAsia="宋体" w:cs="宋体"/>
          <w:b/>
          <w:color w:val="auto"/>
          <w:szCs w:val="21"/>
        </w:rPr>
        <w:t>18.3.4供应商被列入失信被执行人、重大税收违法案件当事人名单、政府采购严重失信行为记录名单的。（查询渠道：中国政府采购网（http://www.ccgp.gov.cn/）、信用中国（www.creditchina.gov.cn）网站的相关主体信用记录）。</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hint="eastAsia" w:ascii="宋体" w:hAnsi="宋体" w:eastAsia="宋体" w:cs="宋体"/>
          <w:color w:val="auto"/>
          <w:szCs w:val="21"/>
        </w:rPr>
      </w:pPr>
      <w:r>
        <w:rPr>
          <w:rFonts w:hint="eastAsia" w:ascii="宋体" w:hAnsi="宋体" w:eastAsia="宋体" w:cs="宋体"/>
          <w:color w:val="auto"/>
          <w:szCs w:val="21"/>
        </w:rPr>
        <w:t>18.3.5谈判响应文件未按规定签字或盖章的；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hint="eastAsia" w:ascii="宋体" w:hAnsi="宋体" w:eastAsia="宋体" w:cs="宋体"/>
          <w:color w:val="auto"/>
          <w:szCs w:val="21"/>
        </w:rPr>
      </w:pPr>
      <w:r>
        <w:rPr>
          <w:rFonts w:hint="eastAsia" w:ascii="宋体" w:hAnsi="宋体" w:eastAsia="宋体" w:cs="宋体"/>
          <w:color w:val="auto"/>
          <w:szCs w:val="21"/>
        </w:rPr>
        <w:t>18.3.6未按要求提供带“*”项材料或者与带“*”项内容存在负偏离的；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hint="eastAsia" w:ascii="宋体" w:hAnsi="宋体" w:eastAsia="宋体" w:cs="宋体"/>
          <w:color w:val="auto"/>
          <w:szCs w:val="21"/>
        </w:rPr>
      </w:pPr>
      <w:r>
        <w:rPr>
          <w:rFonts w:hint="eastAsia" w:ascii="宋体" w:hAnsi="宋体" w:eastAsia="宋体" w:cs="宋体"/>
          <w:color w:val="auto"/>
          <w:szCs w:val="21"/>
        </w:rPr>
        <w:t>18.3.7谈判响应文件未按竞争性谈判文件规定的格式、内容和要求编制，谈判响应文件字迹潦草、模糊、难以辨认；</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hint="eastAsia" w:ascii="宋体" w:hAnsi="宋体" w:eastAsia="宋体" w:cs="宋体"/>
          <w:color w:val="auto"/>
          <w:szCs w:val="21"/>
        </w:rPr>
      </w:pPr>
      <w:r>
        <w:rPr>
          <w:rFonts w:hint="eastAsia" w:ascii="宋体" w:hAnsi="宋体" w:eastAsia="宋体" w:cs="宋体"/>
          <w:color w:val="auto"/>
          <w:szCs w:val="21"/>
        </w:rPr>
        <w:t>18.3.8谈判响应文件材料所述情况和所附相关资料不实的；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hint="eastAsia" w:ascii="宋体" w:hAnsi="宋体" w:eastAsia="宋体" w:cs="宋体"/>
          <w:color w:val="auto"/>
          <w:szCs w:val="21"/>
        </w:rPr>
      </w:pPr>
      <w:r>
        <w:rPr>
          <w:rFonts w:hint="eastAsia" w:ascii="宋体" w:hAnsi="宋体" w:eastAsia="宋体" w:cs="宋体"/>
          <w:color w:val="auto"/>
          <w:szCs w:val="21"/>
        </w:rPr>
        <w:t>18.3.9供应商以他人的名义参加谈判、相互串通、以行贿手段谋取成交或者以其他弄虚作假方式参与谈判的。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hint="eastAsia" w:ascii="宋体" w:hAnsi="宋体" w:eastAsia="宋体" w:cs="宋体"/>
          <w:color w:val="auto"/>
          <w:szCs w:val="21"/>
        </w:rPr>
      </w:pPr>
      <w:r>
        <w:rPr>
          <w:rFonts w:hint="eastAsia" w:ascii="宋体" w:hAnsi="宋体" w:eastAsia="宋体" w:cs="宋体"/>
          <w:color w:val="auto"/>
          <w:szCs w:val="21"/>
        </w:rPr>
        <w:t>18.3.10供应商在一份谈判响应文件中，对同一招标项目报有两个或多个报价，且未书面确定以哪个报价为准的；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hint="eastAsia" w:ascii="宋体" w:hAnsi="宋体" w:eastAsia="宋体" w:cs="宋体"/>
          <w:color w:val="auto"/>
          <w:szCs w:val="21"/>
        </w:rPr>
      </w:pPr>
      <w:r>
        <w:rPr>
          <w:rFonts w:hint="eastAsia" w:ascii="宋体" w:hAnsi="宋体" w:eastAsia="宋体" w:cs="宋体"/>
          <w:color w:val="auto"/>
          <w:szCs w:val="21"/>
        </w:rPr>
        <w:t>18.3.11供应商的谈判报价超出采购预算或者最高限价的；</w:t>
      </w:r>
    </w:p>
    <w:p>
      <w:pPr>
        <w:keepNext w:val="0"/>
        <w:keepLines w:val="0"/>
        <w:pageBreakBefore w:val="0"/>
        <w:widowControl w:val="0"/>
        <w:kinsoku/>
        <w:wordWrap/>
        <w:topLinePunct w:val="0"/>
        <w:bidi w:val="0"/>
        <w:adjustRightInd w:val="0"/>
        <w:snapToGrid w:val="0"/>
        <w:spacing w:line="360" w:lineRule="exact"/>
        <w:ind w:firstLine="439" w:firstLineChars="208"/>
        <w:textAlignment w:val="auto"/>
        <w:rPr>
          <w:rFonts w:hint="eastAsia" w:ascii="宋体" w:hAnsi="宋体" w:eastAsia="宋体" w:cs="宋体"/>
          <w:b/>
          <w:color w:val="auto"/>
          <w:szCs w:val="21"/>
        </w:rPr>
      </w:pPr>
      <w:r>
        <w:rPr>
          <w:rFonts w:hint="eastAsia" w:ascii="宋体" w:hAnsi="宋体" w:eastAsia="宋体" w:cs="宋体"/>
          <w:b/>
          <w:color w:val="auto"/>
          <w:szCs w:val="21"/>
        </w:rPr>
        <w:t>18.3.12谈判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谈判小组应当将其作为无效响应处理。</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hint="eastAsia" w:ascii="宋体" w:hAnsi="宋体" w:eastAsia="宋体" w:cs="宋体"/>
          <w:color w:val="auto"/>
          <w:szCs w:val="21"/>
        </w:rPr>
      </w:pPr>
      <w:r>
        <w:rPr>
          <w:rFonts w:hint="eastAsia" w:ascii="宋体" w:hAnsi="宋体" w:eastAsia="宋体" w:cs="宋体"/>
          <w:color w:val="auto"/>
          <w:szCs w:val="21"/>
        </w:rPr>
        <w:t>18.3.13谈判响应文件含有采购人不能接受的附加条件的；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hint="eastAsia" w:ascii="宋体" w:hAnsi="宋体" w:eastAsia="宋体" w:cs="宋体"/>
          <w:color w:val="auto"/>
          <w:szCs w:val="21"/>
        </w:rPr>
      </w:pPr>
      <w:r>
        <w:rPr>
          <w:rFonts w:hint="eastAsia" w:ascii="宋体" w:hAnsi="宋体" w:eastAsia="宋体" w:cs="宋体"/>
          <w:color w:val="auto"/>
          <w:szCs w:val="21"/>
        </w:rPr>
        <w:t>18.3.14竞争性谈判文件明确规定无效的其他情形，或者其他被谈判小组认定无效的情况；</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hint="eastAsia" w:ascii="宋体" w:hAnsi="宋体" w:eastAsia="宋体" w:cs="宋体"/>
          <w:color w:val="auto"/>
          <w:szCs w:val="21"/>
        </w:rPr>
      </w:pPr>
      <w:r>
        <w:rPr>
          <w:rFonts w:hint="eastAsia" w:ascii="宋体" w:hAnsi="宋体" w:eastAsia="宋体" w:cs="宋体"/>
          <w:color w:val="auto"/>
          <w:szCs w:val="21"/>
        </w:rPr>
        <w:t>18.3.15不符合法律、法规和竞争性谈判文件规定的其他实质性要求的。</w:t>
      </w:r>
    </w:p>
    <w:p>
      <w:pPr>
        <w:keepNext w:val="0"/>
        <w:keepLines w:val="0"/>
        <w:pageBreakBefore w:val="0"/>
        <w:widowControl w:val="0"/>
        <w:kinsoku/>
        <w:wordWrap/>
        <w:topLinePunct w:val="0"/>
        <w:bidi w:val="0"/>
        <w:adjustRightInd w:val="0"/>
        <w:snapToGrid w:val="0"/>
        <w:spacing w:line="360" w:lineRule="exact"/>
        <w:ind w:firstLine="439" w:firstLineChars="208"/>
        <w:textAlignment w:val="auto"/>
        <w:rPr>
          <w:rFonts w:hint="eastAsia" w:ascii="宋体" w:hAnsi="宋体" w:eastAsia="宋体" w:cs="宋体"/>
          <w:b/>
          <w:color w:val="auto"/>
          <w:szCs w:val="21"/>
        </w:rPr>
      </w:pPr>
      <w:r>
        <w:rPr>
          <w:rFonts w:hint="eastAsia" w:ascii="宋体" w:hAnsi="宋体" w:eastAsia="宋体" w:cs="宋体"/>
          <w:b/>
          <w:color w:val="auto"/>
          <w:szCs w:val="21"/>
        </w:rPr>
        <w:t>18.4有下列情形之一的，视为供应商串通，无效响应：</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hint="eastAsia" w:ascii="宋体" w:hAnsi="宋体" w:eastAsia="宋体" w:cs="宋体"/>
          <w:color w:val="auto"/>
          <w:szCs w:val="21"/>
        </w:rPr>
      </w:pPr>
      <w:r>
        <w:rPr>
          <w:rFonts w:hint="eastAsia" w:ascii="宋体" w:hAnsi="宋体" w:eastAsia="宋体" w:cs="宋体"/>
          <w:color w:val="auto"/>
          <w:szCs w:val="21"/>
        </w:rPr>
        <w:t>18.4.1不同供应商的谈判响应文件由同一单位或者个人编制；</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hint="eastAsia" w:ascii="宋体" w:hAnsi="宋体" w:eastAsia="宋体" w:cs="宋体"/>
          <w:color w:val="auto"/>
          <w:szCs w:val="21"/>
        </w:rPr>
      </w:pPr>
      <w:r>
        <w:rPr>
          <w:rFonts w:hint="eastAsia" w:ascii="宋体" w:hAnsi="宋体" w:eastAsia="宋体" w:cs="宋体"/>
          <w:color w:val="auto"/>
          <w:szCs w:val="21"/>
        </w:rPr>
        <w:t>18.4.2不同供应商委托同一单位或者个人办理投标事宜；</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hint="eastAsia" w:ascii="宋体" w:hAnsi="宋体" w:eastAsia="宋体" w:cs="宋体"/>
          <w:color w:val="auto"/>
          <w:szCs w:val="21"/>
        </w:rPr>
      </w:pPr>
      <w:r>
        <w:rPr>
          <w:rFonts w:hint="eastAsia" w:ascii="宋体" w:hAnsi="宋体" w:eastAsia="宋体" w:cs="宋体"/>
          <w:color w:val="auto"/>
          <w:szCs w:val="21"/>
        </w:rPr>
        <w:t>18.4.3 不同供应商的谈判响应文件载明的项目管理成员或者联系人员为同一人；</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hint="eastAsia" w:ascii="宋体" w:hAnsi="宋体" w:eastAsia="宋体" w:cs="宋体"/>
          <w:color w:val="auto"/>
          <w:szCs w:val="21"/>
        </w:rPr>
      </w:pPr>
      <w:r>
        <w:rPr>
          <w:rFonts w:hint="eastAsia" w:ascii="宋体" w:hAnsi="宋体" w:eastAsia="宋体" w:cs="宋体"/>
          <w:color w:val="auto"/>
          <w:szCs w:val="21"/>
        </w:rPr>
        <w:t>18.4.4不同供应商的谈判响应文件异常一致或者谈判报价呈规律性差异；</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hint="eastAsia" w:ascii="宋体" w:hAnsi="宋体" w:eastAsia="宋体" w:cs="宋体"/>
          <w:color w:val="auto"/>
          <w:szCs w:val="21"/>
        </w:rPr>
      </w:pPr>
      <w:r>
        <w:rPr>
          <w:rFonts w:hint="eastAsia" w:ascii="宋体" w:hAnsi="宋体" w:eastAsia="宋体" w:cs="宋体"/>
          <w:color w:val="auto"/>
          <w:szCs w:val="21"/>
        </w:rPr>
        <w:t>18.4.5不同供应商的谈判响应文件相互混装；</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hint="eastAsia" w:ascii="宋体" w:hAnsi="宋体" w:eastAsia="宋体" w:cs="宋体"/>
          <w:color w:val="auto"/>
          <w:szCs w:val="21"/>
        </w:rPr>
      </w:pPr>
      <w:r>
        <w:rPr>
          <w:rFonts w:hint="eastAsia" w:ascii="宋体" w:hAnsi="宋体" w:eastAsia="宋体" w:cs="宋体"/>
          <w:color w:val="auto"/>
          <w:szCs w:val="21"/>
        </w:rPr>
        <w:t>18.4.6不同供应商的谈判保证金从同一单位或者个人的账户转出。</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b/>
          <w:color w:val="auto"/>
          <w:kern w:val="0"/>
          <w:szCs w:val="21"/>
        </w:rPr>
      </w:pPr>
      <w:r>
        <w:rPr>
          <w:rFonts w:hint="eastAsia" w:ascii="宋体" w:hAnsi="宋体" w:eastAsia="宋体" w:cs="宋体"/>
          <w:b/>
          <w:color w:val="auto"/>
          <w:szCs w:val="21"/>
        </w:rPr>
        <w:t>19</w:t>
      </w:r>
      <w:r>
        <w:rPr>
          <w:rFonts w:hint="eastAsia" w:ascii="宋体" w:hAnsi="宋体" w:eastAsia="宋体" w:cs="宋体"/>
          <w:b/>
          <w:color w:val="auto"/>
          <w:kern w:val="0"/>
          <w:szCs w:val="21"/>
        </w:rPr>
        <w:t>.谈判响应文件的澄清</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19.1为了有助于谈判响应文件的审查、评价和比较，谈判小组可以书面方式要求供应商对谈判响应文件中含义不明确、对同类问题表述不一致或者明显文字和计算错误的内容作必要的澄清、说明或者补正。供应商的澄清、说明或者补正应当采用书面形式，并加盖公章，或者由法定代表人或其授权的代表签字。</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19.2 谈判小组可要求供应商就澄清的问题作出答复，该答复经供应商代表的签字认可，将作为谈判响应文件内容的一部分。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19.3 供应商在进行澄清、说明、答辩或补正时，不得改变谈判的价格（校核时发现的算术错误除外）、超出竞争性谈判文件的范围及改变谈判响应文件的实质性内容。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19.4谈判响应文件报价出现前后不一致的，除竞争性谈判文件另有规定外，按照下列规定修正：</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19.4.1谈判响应文件中报价一览表内容与谈判响应文件中相应内容不一致的，以报价一览表为准；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19.4.2 谈判响应文件的大写金额与小写金额不一致的，以大写金额为准；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19.4.3单价金额小数点或者百分比有明显错位的，以报价一览表的总价为准，并修改单价；</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19.4.4 总价金额与按单价汇总金额不一致的，以单价金额计算结果为准。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同时出现两种以上不一致的，按照前款规定的顺序修正。修正后的报价按照本竞争性谈判文件规定经供应商确认后产生约束力，供应商不确认的，视为无效响应，其谈判保证金不予退还。</w:t>
      </w:r>
      <w:r>
        <w:rPr>
          <w:rFonts w:hint="eastAsia" w:ascii="宋体" w:hAnsi="宋体" w:eastAsia="宋体" w:cs="宋体"/>
          <w:b/>
          <w:color w:val="auto"/>
          <w:szCs w:val="21"/>
        </w:rPr>
        <w:t>存在缺项漏项或者数量不符合竞争性谈判文件要求的作为无效谈判响应文件处理</w:t>
      </w:r>
      <w:r>
        <w:rPr>
          <w:rFonts w:hint="eastAsia" w:ascii="宋体" w:hAnsi="宋体" w:eastAsia="宋体" w:cs="宋体"/>
          <w:color w:val="auto"/>
          <w:szCs w:val="21"/>
        </w:rPr>
        <w:t>；对不同文字文本谈判响应文件的解释发生异议的，以中文文本为准。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19.5供应商拒不按照谈判小组要求作出澄清、说明或者补正的，作为无效响应处理。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19.6谈判小组对谈判响应文件的判定，只依据谈判响应文件内容本身，不依靠谈判开始后的任何外来证明。谈判响应文件提交截止时间后，供应商对谈判报价或其他实质性内容修正的函件和增加的任何优惠条件，一律不得作为评审、确定成交供应商的依据。</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b/>
          <w:color w:val="auto"/>
          <w:kern w:val="0"/>
          <w:szCs w:val="21"/>
        </w:rPr>
      </w:pPr>
      <w:r>
        <w:rPr>
          <w:rFonts w:hint="eastAsia" w:ascii="宋体" w:hAnsi="宋体" w:eastAsia="宋体" w:cs="宋体"/>
          <w:b/>
          <w:color w:val="auto"/>
          <w:kern w:val="0"/>
          <w:szCs w:val="21"/>
        </w:rPr>
        <w:t>20.</w:t>
      </w:r>
      <w:r>
        <w:rPr>
          <w:rFonts w:hint="eastAsia" w:ascii="宋体" w:hAnsi="宋体" w:eastAsia="宋体" w:cs="宋体"/>
          <w:b/>
          <w:color w:val="auto"/>
          <w:szCs w:val="21"/>
        </w:rPr>
        <w:t>废标条款</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20.1因情况变化，不再符合规定的竞争性谈判采购方式适用情形的；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20.2 出现影响采购公正的违法、违规行为的；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20.3供应商的最终报价均超过了采购预算，采购人不能支付的；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20.4 因重大变故，采购任务取消的。</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color w:val="auto"/>
          <w:szCs w:val="21"/>
        </w:rPr>
      </w:pPr>
      <w:r>
        <w:rPr>
          <w:rFonts w:hint="eastAsia" w:ascii="宋体" w:hAnsi="宋体" w:eastAsia="宋体" w:cs="宋体"/>
          <w:b/>
          <w:color w:val="auto"/>
          <w:szCs w:val="21"/>
        </w:rPr>
        <w:t>21.评审、确定成交供应商</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hint="eastAsia" w:ascii="宋体" w:hAnsi="宋体" w:eastAsia="宋体" w:cs="宋体"/>
          <w:b/>
          <w:bCs/>
          <w:color w:val="auto"/>
          <w:szCs w:val="21"/>
        </w:rPr>
      </w:pPr>
      <w:r>
        <w:rPr>
          <w:rFonts w:hint="eastAsia" w:ascii="宋体" w:hAnsi="宋体" w:eastAsia="宋体" w:cs="宋体"/>
          <w:b/>
          <w:bCs/>
          <w:color w:val="auto"/>
          <w:szCs w:val="21"/>
        </w:rPr>
        <w:t>21.1本项目采用最低评标价法。谈判小组将从质量和服务均能满足采购文件实质性响应要求的供应商中，按照最后报价由低到高顺序推荐成交候选人。</w:t>
      </w:r>
    </w:p>
    <w:p>
      <w:pPr>
        <w:keepNext w:val="0"/>
        <w:keepLines w:val="0"/>
        <w:pageBreakBefore w:val="0"/>
        <w:widowControl w:val="0"/>
        <w:kinsoku/>
        <w:wordWrap/>
        <w:topLinePunct w:val="0"/>
        <w:bidi w:val="0"/>
        <w:adjustRightInd w:val="0"/>
        <w:snapToGrid w:val="0"/>
        <w:spacing w:line="360" w:lineRule="exact"/>
        <w:ind w:firstLine="420"/>
        <w:textAlignment w:val="auto"/>
        <w:rPr>
          <w:rFonts w:hint="eastAsia" w:ascii="宋体" w:hAnsi="宋体" w:eastAsia="宋体" w:cs="宋体"/>
          <w:b/>
          <w:bCs/>
          <w:color w:val="auto"/>
          <w:szCs w:val="21"/>
        </w:rPr>
      </w:pPr>
      <w:r>
        <w:rPr>
          <w:rFonts w:hint="eastAsia" w:ascii="宋体" w:hAnsi="宋体" w:eastAsia="宋体" w:cs="宋体"/>
          <w:b/>
          <w:bCs/>
          <w:color w:val="auto"/>
          <w:kern w:val="0"/>
          <w:szCs w:val="21"/>
        </w:rPr>
        <w:t>21.2</w:t>
      </w:r>
      <w:r>
        <w:rPr>
          <w:rFonts w:hint="eastAsia" w:ascii="宋体" w:hAnsi="宋体" w:eastAsia="宋体" w:cs="宋体"/>
          <w:b/>
          <w:bCs/>
          <w:color w:val="auto"/>
          <w:szCs w:val="21"/>
          <w:u w:val="single"/>
        </w:rPr>
        <w:t>采购人授权谈判小组直接确定成交供应商。</w:t>
      </w:r>
    </w:p>
    <w:p>
      <w:pPr>
        <w:pStyle w:val="6"/>
        <w:keepNext w:val="0"/>
        <w:keepLines w:val="0"/>
        <w:pageBreakBefore w:val="0"/>
        <w:widowControl w:val="0"/>
        <w:kinsoku/>
        <w:wordWrap/>
        <w:overflowPunct w:val="0"/>
        <w:topLinePunct w:val="0"/>
        <w:bidi w:val="0"/>
        <w:adjustRightInd w:val="0"/>
        <w:snapToGrid w:val="0"/>
        <w:spacing w:line="360" w:lineRule="exact"/>
        <w:ind w:firstLine="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22.</w:t>
      </w:r>
      <w:r>
        <w:rPr>
          <w:rStyle w:val="31"/>
          <w:rFonts w:hint="eastAsia" w:ascii="宋体" w:hAnsi="宋体" w:eastAsia="宋体" w:cs="宋体"/>
          <w:color w:val="auto"/>
          <w:sz w:val="21"/>
          <w:szCs w:val="21"/>
        </w:rPr>
        <w:t>成交结果</w:t>
      </w:r>
      <w:r>
        <w:rPr>
          <w:rFonts w:hint="eastAsia" w:ascii="宋体" w:hAnsi="宋体" w:eastAsia="宋体" w:cs="宋体"/>
          <w:b/>
          <w:color w:val="auto"/>
          <w:sz w:val="21"/>
          <w:szCs w:val="21"/>
        </w:rPr>
        <w:t>及公示</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22.1 代理机构将成交结果</w:t>
      </w:r>
      <w:r>
        <w:rPr>
          <w:rFonts w:hint="eastAsia" w:ascii="宋体" w:hAnsi="宋体" w:eastAsia="宋体" w:cs="宋体"/>
          <w:color w:val="auto"/>
          <w:sz w:val="21"/>
          <w:szCs w:val="21"/>
          <w:highlight w:val="none"/>
        </w:rPr>
        <w:t>在</w:t>
      </w:r>
      <w:r>
        <w:rPr>
          <w:rFonts w:hint="eastAsia" w:ascii="宋体" w:hAnsi="宋体" w:eastAsia="宋体" w:cs="宋体"/>
          <w:b/>
          <w:color w:val="auto"/>
          <w:sz w:val="21"/>
          <w:szCs w:val="21"/>
          <w:highlight w:val="none"/>
        </w:rPr>
        <w:t>中国招投标网、常州市城投建设工程招标有限公司</w:t>
      </w:r>
      <w:r>
        <w:rPr>
          <w:rFonts w:hint="eastAsia" w:ascii="宋体" w:hAnsi="宋体" w:eastAsia="宋体" w:cs="宋体"/>
          <w:color w:val="auto"/>
          <w:sz w:val="21"/>
          <w:szCs w:val="21"/>
          <w:highlight w:val="none"/>
        </w:rPr>
        <w:t>网站上予以公告。公告期限为1个工作日。</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22.2若有充分证据证明，成交供应商出现下列情况之一的，一经查实，将被取消成交资格：</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22.2.1提供虚假材料谋取成交的；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22.2.2向采购人、代理机构行贿或者提供其他不正当利益的。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22.2.3恶意竞争，最终总报价明显低于其自身合理成本且又无法提供证明的。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22.2.4不满足本采购文件规定的实质性要求，但在评审过程中又未被谈判小组发现的。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22.2.5与采购人或者其他供应商恶意串通的。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22.2.6采取不正当手段诋毁、排挤其他供应商的。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22.2.7法律、法规、规章规定的属于成交无效的其他情形。</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22.3 供应商认为采购文件、采购过程和采购结果使自己的权益受到损害的，可以在知道或应知其权益受到损害之日起七个工作日内，以书面形式向代理机构或采购人提出质疑。该质疑应当有明确的请求和必要的证明材料，同时该质疑应有供应商法定代表人或参加投标的授权委托人签署并加盖公章(原件)。代理机构将在收到经供应商法定代表人或参加投标的授权委托人签署和盖公章(原件)的书面质疑后七个工作日内，对质疑内容做出答复。如供应商在成交公告期限届满之日起七个工作日后向代理机构提出质疑或质疑未经供应商法定代表人或参加投标的授权委托人签署或加盖公章(原件)或未提供明确的请求和必要的证明材料的，代理机构有权对该质疑不予答复（法律法规另有其他规定的除外）。供应商提出书面质疑必须有理、有据，不得恶意质疑或提交虚假质疑。否则，一经查实，代理机构有权依据有关规定，报请有关行政监督部门对该供应商进行相应的处罚。</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未参加谈判活动的供应商或在谈判活动中自身权益未受到损害的供应商所提出的质疑不予受理。如有参加谈判的供应商提出有效质疑，并因此可能对成交结果产生影响，而最终被取消成交的，代理机构对成交供应商不承担任何责任。</w:t>
      </w:r>
    </w:p>
    <w:p>
      <w:pPr>
        <w:pStyle w:val="6"/>
        <w:keepNext w:val="0"/>
        <w:keepLines w:val="0"/>
        <w:pageBreakBefore w:val="0"/>
        <w:widowControl w:val="0"/>
        <w:kinsoku/>
        <w:wordWrap/>
        <w:overflowPunct w:val="0"/>
        <w:topLinePunct w:val="0"/>
        <w:bidi w:val="0"/>
        <w:adjustRightInd w:val="0"/>
        <w:snapToGrid w:val="0"/>
        <w:spacing w:line="360" w:lineRule="exact"/>
        <w:ind w:firstLine="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23.成交通知书</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23.1 成交结果确定后，代理机构将向成交供应商发出成交通知书。</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23.2 成交通知书对采购人和成交供应商具有法律约束力。成交通知书发出后，采购人改变成交结果或者成交供应商放弃成交，均应当承担相应的法律责任，且不影响服务费的支付。</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23.3 代理机构及采购人对未成交供应商不承担解释未成交原因的义务。</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b/>
          <w:color w:val="auto"/>
          <w:szCs w:val="21"/>
        </w:rPr>
      </w:pPr>
      <w:r>
        <w:rPr>
          <w:rFonts w:hint="eastAsia" w:ascii="宋体" w:hAnsi="宋体" w:eastAsia="宋体" w:cs="宋体"/>
          <w:b/>
          <w:color w:val="auto"/>
          <w:szCs w:val="21"/>
        </w:rPr>
        <w:t>24.履约保证金</w:t>
      </w:r>
    </w:p>
    <w:p>
      <w:pPr>
        <w:pStyle w:val="6"/>
        <w:keepNext w:val="0"/>
        <w:keepLines w:val="0"/>
        <w:pageBreakBefore w:val="0"/>
        <w:widowControl w:val="0"/>
        <w:kinsoku/>
        <w:wordWrap/>
        <w:overflowPunct w:val="0"/>
        <w:topLinePunct w:val="0"/>
        <w:bidi w:val="0"/>
        <w:adjustRightInd w:val="0"/>
        <w:snapToGrid w:val="0"/>
        <w:spacing w:line="360" w:lineRule="exact"/>
        <w:ind w:firstLine="436" w:firstLineChars="208"/>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24.1</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成交供应商应</w:t>
      </w:r>
      <w:r>
        <w:rPr>
          <w:rFonts w:hint="eastAsia" w:ascii="宋体" w:hAnsi="宋体" w:eastAsia="宋体" w:cs="宋体"/>
          <w:bCs/>
          <w:color w:val="auto"/>
          <w:sz w:val="21"/>
          <w:szCs w:val="21"/>
        </w:rPr>
        <w:t>在合同签订前</w:t>
      </w:r>
      <w:r>
        <w:rPr>
          <w:rFonts w:hint="eastAsia" w:ascii="宋体" w:hAnsi="宋体" w:eastAsia="宋体" w:cs="宋体"/>
          <w:color w:val="auto"/>
          <w:sz w:val="21"/>
          <w:szCs w:val="21"/>
        </w:rPr>
        <w:t>向</w:t>
      </w:r>
      <w:r>
        <w:rPr>
          <w:rFonts w:hint="eastAsia" w:ascii="宋体" w:hAnsi="宋体" w:eastAsia="宋体" w:cs="宋体"/>
          <w:b/>
          <w:color w:val="auto"/>
          <w:sz w:val="21"/>
          <w:szCs w:val="21"/>
        </w:rPr>
        <w:t>采购人</w:t>
      </w:r>
      <w:r>
        <w:rPr>
          <w:rFonts w:hint="eastAsia" w:ascii="宋体" w:hAnsi="宋体" w:eastAsia="宋体" w:cs="宋体"/>
          <w:color w:val="auto"/>
          <w:sz w:val="21"/>
          <w:szCs w:val="21"/>
        </w:rPr>
        <w:t>提供合同总价格</w:t>
      </w:r>
      <w:r>
        <w:rPr>
          <w:rFonts w:hint="eastAsia" w:ascii="宋体" w:hAnsi="宋体" w:eastAsia="宋体" w:cs="宋体"/>
          <w:b/>
          <w:bCs/>
          <w:color w:val="auto"/>
          <w:sz w:val="21"/>
          <w:szCs w:val="21"/>
          <w:u w:val="single"/>
          <w:lang w:val="en-US" w:eastAsia="zh-CN"/>
        </w:rPr>
        <w:t>5</w:t>
      </w:r>
      <w:r>
        <w:rPr>
          <w:rFonts w:hint="eastAsia" w:ascii="宋体" w:hAnsi="宋体" w:eastAsia="宋体" w:cs="宋体"/>
          <w:b/>
          <w:bCs/>
          <w:color w:val="auto"/>
          <w:sz w:val="21"/>
          <w:szCs w:val="21"/>
          <w:u w:val="single"/>
        </w:rPr>
        <w:t>%</w:t>
      </w:r>
      <w:r>
        <w:rPr>
          <w:rFonts w:hint="eastAsia" w:ascii="宋体" w:hAnsi="宋体" w:eastAsia="宋体" w:cs="宋体"/>
          <w:color w:val="auto"/>
          <w:sz w:val="21"/>
          <w:szCs w:val="21"/>
        </w:rPr>
        <w:t>的履约保证金。</w:t>
      </w:r>
    </w:p>
    <w:p>
      <w:pPr>
        <w:pStyle w:val="6"/>
        <w:keepNext w:val="0"/>
        <w:keepLines w:val="0"/>
        <w:pageBreakBefore w:val="0"/>
        <w:widowControl w:val="0"/>
        <w:kinsoku/>
        <w:wordWrap/>
        <w:overflowPunct w:val="0"/>
        <w:topLinePunct w:val="0"/>
        <w:bidi w:val="0"/>
        <w:adjustRightInd w:val="0"/>
        <w:snapToGrid w:val="0"/>
        <w:spacing w:line="360" w:lineRule="exact"/>
        <w:ind w:firstLine="439" w:firstLineChars="208"/>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24.2</w:t>
      </w:r>
      <w:r>
        <w:rPr>
          <w:rFonts w:hint="eastAsia" w:ascii="宋体" w:hAnsi="宋体" w:eastAsia="宋体" w:cs="宋体"/>
          <w:b/>
          <w:color w:val="auto"/>
          <w:sz w:val="21"/>
          <w:szCs w:val="21"/>
          <w:lang w:val="en-US" w:eastAsia="zh-CN"/>
        </w:rPr>
        <w:t xml:space="preserve"> </w:t>
      </w:r>
      <w:r>
        <w:rPr>
          <w:rFonts w:hint="eastAsia" w:ascii="宋体" w:hAnsi="宋体" w:eastAsia="宋体" w:cs="宋体"/>
          <w:b/>
          <w:color w:val="auto"/>
          <w:sz w:val="21"/>
          <w:szCs w:val="21"/>
        </w:rPr>
        <w:t>履约保证金将在项目结束后（无息）退返成交供应商。</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color w:val="auto"/>
          <w:szCs w:val="21"/>
        </w:rPr>
      </w:pPr>
      <w:r>
        <w:rPr>
          <w:rFonts w:hint="eastAsia" w:ascii="宋体" w:hAnsi="宋体" w:eastAsia="宋体" w:cs="宋体"/>
          <w:b/>
          <w:color w:val="auto"/>
          <w:szCs w:val="21"/>
        </w:rPr>
        <w:t>25.代理机构服务费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25.1</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代理服务收费标准</w:t>
      </w:r>
    </w:p>
    <w:tbl>
      <w:tblPr>
        <w:tblStyle w:val="21"/>
        <w:tblW w:w="4925" w:type="dxa"/>
        <w:tblInd w:w="1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2"/>
        <w:gridCol w:w="2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1" w:hRule="atLeast"/>
        </w:trPr>
        <w:tc>
          <w:tcPr>
            <w:tcW w:w="2582" w:type="dxa"/>
          </w:tcPr>
          <w:p>
            <w:pPr>
              <w:spacing w:line="360" w:lineRule="exact"/>
              <w:ind w:firstLine="945" w:firstLineChars="450"/>
              <w:rPr>
                <w:rFonts w:hint="eastAsia" w:ascii="宋体" w:hAnsi="宋体" w:eastAsia="宋体" w:cs="宋体"/>
                <w:bCs/>
                <w:color w:val="auto"/>
                <w:szCs w:val="21"/>
              </w:rPr>
            </w:pPr>
            <w:r>
              <w:rPr>
                <w:rFonts w:hint="eastAsia" w:ascii="宋体" w:hAnsi="宋体" w:eastAsia="宋体" w:cs="宋体"/>
                <w:bCs/>
                <w:color w:val="auto"/>
                <w:szCs w:val="21"/>
              </w:rPr>
              <w:pict>
                <v:line id="Line 47" o:spid="_x0000_s1043" o:spt="20" style="position:absolute;left:0pt;flip:x y;margin-left:27pt;margin-top:-0.4pt;height:110.3pt;width:97.25pt;z-index:251729920;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">
                  <v:path arrowok="t"/>
                  <v:fill on="f" focussize="0,0"/>
                  <v:stroke color="#000000"/>
                  <v:imagedata o:title=""/>
                  <o:lock v:ext="edit" aspectratio="f"/>
                </v:line>
              </w:pict>
            </w:r>
            <w:r>
              <w:rPr>
                <w:rFonts w:hint="eastAsia" w:ascii="宋体" w:hAnsi="宋体" w:eastAsia="宋体" w:cs="宋体"/>
                <w:bCs/>
                <w:color w:val="auto"/>
                <w:szCs w:val="21"/>
              </w:rPr>
              <w:pict>
                <v:line id="Line 45" o:spid="_x0000_s1044" o:spt="20" style="position:absolute;left:0pt;margin-left:-8.9pt;margin-top:-0.4pt;height:0pt;width:0.05pt;z-index:25172787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">
                  <v:path arrowok="t"/>
                  <v:fill focussize="0,0"/>
                  <v:stroke/>
                  <v:imagedata o:title=""/>
                  <o:lock v:ext="edit"/>
                </v:line>
              </w:pict>
            </w:r>
            <w:r>
              <w:rPr>
                <w:rFonts w:hint="eastAsia" w:ascii="宋体" w:hAnsi="宋体" w:eastAsia="宋体" w:cs="宋体"/>
                <w:bCs/>
                <w:color w:val="auto"/>
                <w:szCs w:val="21"/>
              </w:rPr>
              <w:t>服</w:t>
            </w:r>
          </w:p>
          <w:p>
            <w:pPr>
              <w:spacing w:line="360" w:lineRule="exact"/>
              <w:ind w:firstLine="210" w:firstLineChars="100"/>
              <w:rPr>
                <w:rFonts w:hint="eastAsia" w:ascii="宋体" w:hAnsi="宋体" w:eastAsia="宋体" w:cs="宋体"/>
                <w:bCs/>
                <w:color w:val="auto"/>
                <w:szCs w:val="21"/>
              </w:rPr>
            </w:pPr>
            <w:r>
              <w:rPr>
                <w:rFonts w:hint="eastAsia" w:ascii="宋体" w:hAnsi="宋体" w:eastAsia="宋体" w:cs="宋体"/>
                <w:bCs/>
                <w:color w:val="auto"/>
                <w:szCs w:val="21"/>
              </w:rPr>
              <w:t>费　　  　务</w:t>
            </w:r>
          </w:p>
          <w:p>
            <w:pPr>
              <w:spacing w:line="360" w:lineRule="exact"/>
              <w:ind w:firstLine="1260" w:firstLineChars="600"/>
              <w:rPr>
                <w:rFonts w:hint="eastAsia" w:ascii="宋体" w:hAnsi="宋体" w:eastAsia="宋体" w:cs="宋体"/>
                <w:bCs/>
                <w:color w:val="auto"/>
                <w:szCs w:val="21"/>
              </w:rPr>
            </w:pPr>
            <w:r>
              <w:rPr>
                <w:rFonts w:hint="eastAsia" w:ascii="宋体" w:hAnsi="宋体" w:eastAsia="宋体" w:cs="宋体"/>
                <w:bCs/>
                <w:color w:val="auto"/>
                <w:szCs w:val="21"/>
              </w:rPr>
              <w:pict>
                <v:line id="Line 46" o:spid="_x0000_s1045" o:spt="20" style="position:absolute;left:0pt;flip:x y;margin-left:-6.55pt;margin-top:7.15pt;height:66.3pt;width:131.75pt;z-index:251728896;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">
                  <v:path arrowok="t"/>
                  <v:fill on="f" focussize="0,0"/>
                  <v:stroke color="#000000"/>
                  <v:imagedata o:title=""/>
                  <o:lock v:ext="edit" aspectratio="f"/>
                </v:line>
              </w:pict>
            </w:r>
            <w:r>
              <w:rPr>
                <w:rFonts w:hint="eastAsia" w:ascii="宋体" w:hAnsi="宋体" w:eastAsia="宋体" w:cs="宋体"/>
                <w:bCs/>
                <w:color w:val="auto"/>
                <w:szCs w:val="21"/>
              </w:rPr>
              <w:t>　  类</w:t>
            </w:r>
          </w:p>
          <w:p>
            <w:pPr>
              <w:spacing w:line="360" w:lineRule="exact"/>
              <w:ind w:firstLine="1050" w:firstLineChars="500"/>
              <w:rPr>
                <w:rFonts w:hint="eastAsia" w:ascii="宋体" w:hAnsi="宋体" w:eastAsia="宋体" w:cs="宋体"/>
                <w:bCs/>
                <w:color w:val="auto"/>
                <w:szCs w:val="21"/>
              </w:rPr>
            </w:pPr>
            <w:r>
              <w:rPr>
                <w:rFonts w:hint="eastAsia" w:ascii="宋体" w:hAnsi="宋体" w:eastAsia="宋体" w:cs="宋体"/>
                <w:bCs/>
                <w:color w:val="auto"/>
                <w:szCs w:val="21"/>
              </w:rPr>
              <w:t>率　     型</w:t>
            </w:r>
          </w:p>
          <w:p>
            <w:pPr>
              <w:spacing w:line="360" w:lineRule="exact"/>
              <w:ind w:firstLine="1050" w:firstLineChars="500"/>
              <w:rPr>
                <w:rFonts w:hint="eastAsia" w:ascii="宋体" w:hAnsi="宋体" w:eastAsia="宋体" w:cs="宋体"/>
                <w:bCs/>
                <w:color w:val="auto"/>
                <w:szCs w:val="21"/>
              </w:rPr>
            </w:pPr>
            <w:r>
              <w:rPr>
                <w:rFonts w:hint="eastAsia" w:ascii="宋体" w:hAnsi="宋体" w:eastAsia="宋体" w:cs="宋体"/>
                <w:bCs/>
                <w:color w:val="auto"/>
                <w:szCs w:val="21"/>
              </w:rPr>
              <w:t>　　　　</w:t>
            </w:r>
          </w:p>
          <w:p>
            <w:pPr>
              <w:spacing w:line="360" w:lineRule="exact"/>
              <w:rPr>
                <w:rFonts w:hint="eastAsia" w:ascii="宋体" w:hAnsi="宋体" w:eastAsia="宋体" w:cs="宋体"/>
                <w:bCs/>
                <w:color w:val="auto"/>
                <w:szCs w:val="21"/>
              </w:rPr>
            </w:pPr>
            <w:r>
              <w:rPr>
                <w:rFonts w:hint="eastAsia" w:ascii="宋体" w:hAnsi="宋体" w:eastAsia="宋体" w:cs="宋体"/>
                <w:bCs/>
                <w:color w:val="auto"/>
                <w:szCs w:val="21"/>
              </w:rPr>
              <w:t>成交金额（万元）</w:t>
            </w:r>
          </w:p>
        </w:tc>
        <w:tc>
          <w:tcPr>
            <w:tcW w:w="2343" w:type="dxa"/>
            <w:vAlign w:val="center"/>
          </w:tcPr>
          <w:p>
            <w:pPr>
              <w:spacing w:line="360" w:lineRule="exact"/>
              <w:jc w:val="center"/>
              <w:rPr>
                <w:rFonts w:hint="eastAsia" w:ascii="宋体" w:hAnsi="宋体" w:eastAsia="宋体" w:cs="宋体"/>
                <w:bCs/>
                <w:color w:val="auto"/>
                <w:szCs w:val="21"/>
              </w:rPr>
            </w:pPr>
            <w:r>
              <w:rPr>
                <w:rFonts w:hint="eastAsia" w:ascii="宋体" w:hAnsi="宋体" w:eastAsia="宋体" w:cs="宋体"/>
                <w:bCs/>
                <w:color w:val="auto"/>
                <w:szCs w:val="21"/>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2" w:type="dxa"/>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100（含，下同）以下</w:t>
            </w:r>
          </w:p>
        </w:tc>
        <w:tc>
          <w:tcPr>
            <w:tcW w:w="2343" w:type="dxa"/>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2" w:type="dxa"/>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100-500</w:t>
            </w:r>
          </w:p>
        </w:tc>
        <w:tc>
          <w:tcPr>
            <w:tcW w:w="2343" w:type="dxa"/>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500—1000</w:t>
            </w:r>
          </w:p>
        </w:tc>
        <w:tc>
          <w:tcPr>
            <w:tcW w:w="2343"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2" w:type="dxa"/>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w:t>
            </w:r>
          </w:p>
        </w:tc>
        <w:tc>
          <w:tcPr>
            <w:tcW w:w="2343" w:type="dxa"/>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w:t>
            </w:r>
          </w:p>
        </w:tc>
      </w:tr>
    </w:tbl>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25.2</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成交服务收费按差额定率累进法计算。 </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jc w:val="left"/>
        <w:textAlignment w:val="auto"/>
        <w:rPr>
          <w:rFonts w:hint="eastAsia" w:ascii="宋体" w:hAnsi="宋体" w:eastAsia="宋体" w:cs="宋体"/>
          <w:b/>
          <w:color w:val="auto"/>
          <w:szCs w:val="21"/>
        </w:rPr>
      </w:pPr>
      <w:r>
        <w:rPr>
          <w:rFonts w:hint="eastAsia" w:ascii="宋体" w:hAnsi="宋体" w:eastAsia="宋体" w:cs="宋体"/>
          <w:b/>
          <w:color w:val="auto"/>
          <w:szCs w:val="21"/>
        </w:rPr>
        <w:t>25.3</w:t>
      </w:r>
      <w:r>
        <w:rPr>
          <w:rFonts w:hint="eastAsia" w:ascii="宋体" w:hAnsi="宋体" w:eastAsia="宋体" w:cs="宋体"/>
          <w:b/>
          <w:color w:val="auto"/>
          <w:szCs w:val="21"/>
          <w:lang w:val="en-US" w:eastAsia="zh-CN"/>
        </w:rPr>
        <w:t xml:space="preserve"> </w:t>
      </w:r>
      <w:r>
        <w:rPr>
          <w:rFonts w:hint="eastAsia" w:ascii="宋体" w:hAnsi="宋体" w:eastAsia="宋体" w:cs="宋体"/>
          <w:b/>
          <w:color w:val="auto"/>
          <w:szCs w:val="21"/>
        </w:rPr>
        <w:t>服务费按照上述标准收取并由成交供应商承担，</w:t>
      </w:r>
      <w:r>
        <w:rPr>
          <w:rFonts w:hint="eastAsia" w:ascii="宋体" w:hAnsi="宋体" w:eastAsia="宋体" w:cs="宋体"/>
          <w:b/>
          <w:bCs/>
          <w:color w:val="auto"/>
          <w:szCs w:val="21"/>
        </w:rPr>
        <w:t>专家评审费为500元/人，</w:t>
      </w:r>
      <w:r>
        <w:rPr>
          <w:rFonts w:hint="eastAsia" w:ascii="宋体" w:hAnsi="宋体" w:eastAsia="宋体" w:cs="宋体"/>
          <w:b/>
          <w:bCs/>
          <w:color w:val="auto"/>
          <w:szCs w:val="21"/>
          <w:lang w:eastAsia="zh-CN"/>
        </w:rPr>
        <w:t>按实际人数计算，</w:t>
      </w:r>
      <w:r>
        <w:rPr>
          <w:rFonts w:hint="eastAsia" w:ascii="宋体" w:hAnsi="宋体" w:eastAsia="宋体" w:cs="宋体"/>
          <w:b/>
          <w:bCs/>
          <w:color w:val="auto"/>
          <w:szCs w:val="21"/>
        </w:rPr>
        <w:t>由成交</w:t>
      </w:r>
      <w:r>
        <w:rPr>
          <w:rFonts w:hint="eastAsia" w:ascii="宋体" w:hAnsi="宋体" w:eastAsia="宋体" w:cs="宋体"/>
          <w:b/>
          <w:color w:val="auto"/>
          <w:szCs w:val="21"/>
        </w:rPr>
        <w:t>供应商</w:t>
      </w:r>
      <w:r>
        <w:rPr>
          <w:rFonts w:hint="eastAsia" w:ascii="宋体" w:hAnsi="宋体" w:eastAsia="宋体" w:cs="宋体"/>
          <w:b/>
          <w:bCs/>
          <w:color w:val="auto"/>
          <w:szCs w:val="21"/>
        </w:rPr>
        <w:t>承担。</w:t>
      </w:r>
      <w:r>
        <w:rPr>
          <w:rFonts w:hint="eastAsia" w:ascii="宋体" w:hAnsi="宋体" w:eastAsia="宋体" w:cs="宋体"/>
          <w:b/>
          <w:color w:val="auto"/>
          <w:szCs w:val="21"/>
        </w:rPr>
        <w:t>成交供应商应在领取成交通知书时将代理机构服务费</w:t>
      </w:r>
      <w:r>
        <w:rPr>
          <w:rFonts w:hint="eastAsia" w:ascii="宋体" w:hAnsi="宋体" w:eastAsia="宋体" w:cs="宋体"/>
          <w:b/>
          <w:color w:val="auto"/>
          <w:szCs w:val="21"/>
          <w:lang w:val="en-US" w:eastAsia="zh-CN"/>
        </w:rPr>
        <w:t>和</w:t>
      </w:r>
      <w:r>
        <w:rPr>
          <w:rFonts w:hint="eastAsia" w:ascii="宋体" w:hAnsi="宋体" w:eastAsia="宋体" w:cs="宋体"/>
          <w:b/>
          <w:bCs/>
          <w:color w:val="auto"/>
          <w:szCs w:val="21"/>
        </w:rPr>
        <w:t>专家评审费</w:t>
      </w:r>
      <w:r>
        <w:rPr>
          <w:rFonts w:hint="eastAsia" w:ascii="宋体" w:hAnsi="宋体" w:eastAsia="宋体" w:cs="宋体"/>
          <w:b/>
          <w:color w:val="auto"/>
          <w:szCs w:val="21"/>
        </w:rPr>
        <w:t>付至常州市城投建设工程招标有限公司账户。</w:t>
      </w:r>
      <w:r>
        <w:rPr>
          <w:rFonts w:hint="eastAsia" w:ascii="宋体" w:hAnsi="宋体" w:eastAsia="宋体" w:cs="宋体"/>
          <w:b/>
          <w:color w:val="auto"/>
          <w:szCs w:val="21"/>
        </w:rPr>
        <w:pict>
          <v:shape id="_x0000_s1046" o:spid="_x0000_s1046" style="position:absolute;left:0pt;margin-left:161.85pt;margin-top:17.65pt;height:0.75pt;width:0pt;mso-position-horizontal-relative:page;z-index:-251552768;mso-width-relative:page;mso-height-relative:page;" filled="f"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" path="m0,0l0,15e">
            <v:path arrowok="t" o:connecttype="custom" o:connectlocs="0,0;0,7144" o:connectangles="0,0"/>
            <v:fill on="f" focussize="0,0"/>
            <v:stroke weight="0.05pt"/>
            <v:imagedata o:title=""/>
            <o:lock v:ext="edit"/>
          </v:shape>
        </w:pict>
      </w:r>
      <w:r>
        <w:rPr>
          <w:rFonts w:hint="eastAsia" w:ascii="宋体" w:hAnsi="宋体" w:eastAsia="宋体" w:cs="宋体"/>
          <w:b/>
          <w:color w:val="auto"/>
          <w:szCs w:val="21"/>
        </w:rPr>
        <w:pict>
          <v:shape id="任意多边形 5" o:spid="_x0000_s1047" style="position:absolute;left:0pt;margin-left:161.85pt;margin-top:17.65pt;height:0.75pt;width:0pt;mso-position-horizontal-relative:page;z-index:-251584512;mso-width-relative:page;mso-height-relative:page;" filled="f"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" path="m0,0l0,15e">
            <v:path arrowok="t" o:connecttype="custom" o:connectlocs="0,0;0,7144" o:connectangles="0,0"/>
            <v:fill on="f" focussize="0,0"/>
            <v:stroke weight="0.05pt"/>
            <v:imagedata o:title=""/>
            <o:lock v:ext="edit"/>
          </v:shape>
        </w:pict>
      </w:r>
    </w:p>
    <w:p>
      <w:pPr>
        <w:keepNext w:val="0"/>
        <w:keepLines w:val="0"/>
        <w:pageBreakBefore w:val="0"/>
        <w:widowControl w:val="0"/>
        <w:kinsoku/>
        <w:wordWrap/>
        <w:overflowPunct/>
        <w:topLinePunct w:val="0"/>
        <w:autoSpaceDE/>
        <w:autoSpaceDN/>
        <w:bidi w:val="0"/>
        <w:adjustRightInd w:val="0"/>
        <w:snapToGrid w:val="0"/>
        <w:spacing w:line="360" w:lineRule="exact"/>
        <w:ind w:firstLine="420"/>
        <w:textAlignment w:val="auto"/>
        <w:rPr>
          <w:rFonts w:hint="eastAsia" w:ascii="宋体" w:hAnsi="宋体" w:eastAsia="宋体" w:cs="宋体"/>
          <w:color w:val="auto"/>
          <w:kern w:val="0"/>
          <w:szCs w:val="21"/>
        </w:rPr>
      </w:pPr>
      <w:r>
        <w:rPr>
          <w:rFonts w:hint="eastAsia" w:ascii="宋体" w:hAnsi="宋体" w:eastAsia="宋体" w:cs="宋体"/>
          <w:color w:val="auto"/>
          <w:szCs w:val="21"/>
        </w:rPr>
        <w:t>25.4</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成交服务收费按上述计算方法不足人民币3000元的，按人民币3000元收取。</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color w:val="auto"/>
          <w:szCs w:val="21"/>
        </w:rPr>
      </w:pPr>
      <w:r>
        <w:rPr>
          <w:rFonts w:hint="eastAsia" w:ascii="宋体" w:hAnsi="宋体" w:eastAsia="宋体" w:cs="宋体"/>
          <w:b/>
          <w:color w:val="auto"/>
          <w:szCs w:val="21"/>
        </w:rPr>
        <w:t>26.合同的签订</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26.1成交供应商应按成交通知书规定的时间、地点，按照竞争性谈判文件确定的事项与采购人签订采购合同，且不得迟于成交通知书发出之日起三十日内，否则谈判保证金将不予退还，由此给采购人造成损失的，成交供应商还应承担赔偿责任。</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26.2竞争性谈判文件、成交供应商的谈判响应文件及谈判过程中有关澄清、承诺文件均应作为合同附件。</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26.3签订合同后，成交供应商不得将货物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26.4合同履行中，采购人需追加与合同标的相同的货物和服务的，在不改变合同其他条款的前提下，可以与成交供应商协商签订补充合同，但所有补充合同的采购金额不超过原合同金额10%。</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26.5成交供应商因不可抗力导致无法按期签订合同的，应当在不可抗力发生之日起5日内提出，并提供书面证据，采购人及成交供应商互不承担任何责任及损失。如成交供应商无正当理由未按期签订合同的，视为自动放弃成交资格，采购人有权追究其违约责任，同时采购人可以与排位在成交供应商之后第一位的成交候选人签订合同或重新委托进行招标。</w:t>
      </w:r>
    </w:p>
    <w:p>
      <w:pPr>
        <w:rPr>
          <w:rFonts w:hint="eastAsia" w:ascii="宋体" w:hAnsi="宋体" w:eastAsia="宋体" w:cs="宋体"/>
          <w:color w:val="auto"/>
        </w:rPr>
      </w:pPr>
      <w:bookmarkStart w:id="2" w:name="_Toc17536926"/>
      <w:r>
        <w:rPr>
          <w:rFonts w:hint="eastAsia" w:ascii="宋体" w:hAnsi="宋体" w:eastAsia="宋体" w:cs="宋体"/>
          <w:color w:val="auto"/>
        </w:rPr>
        <w:br w:type="page"/>
      </w:r>
    </w:p>
    <w:p>
      <w:pPr>
        <w:pStyle w:val="3"/>
        <w:rPr>
          <w:rFonts w:hint="eastAsia" w:ascii="宋体" w:hAnsi="宋体" w:eastAsia="宋体" w:cs="宋体"/>
          <w:color w:val="auto"/>
          <w:szCs w:val="21"/>
        </w:rPr>
      </w:pPr>
      <w:r>
        <w:rPr>
          <w:rFonts w:hint="eastAsia" w:ascii="宋体" w:hAnsi="宋体" w:eastAsia="宋体" w:cs="宋体"/>
          <w:color w:val="auto"/>
        </w:rPr>
        <w:t>第二章  采购项目及技术要求</w:t>
      </w:r>
      <w:bookmarkEnd w:id="2"/>
    </w:p>
    <w:p>
      <w:pPr>
        <w:keepNext w:val="0"/>
        <w:keepLines w:val="0"/>
        <w:pageBreakBefore w:val="0"/>
        <w:kinsoku/>
        <w:wordWrap/>
        <w:overflowPunct/>
        <w:topLinePunct w:val="0"/>
        <w:autoSpaceDE/>
        <w:autoSpaceDN/>
        <w:bidi w:val="0"/>
        <w:adjustRightInd w:val="0"/>
        <w:snapToGrid w:val="0"/>
        <w:spacing w:line="360" w:lineRule="exact"/>
        <w:ind w:firstLine="422" w:firstLineChars="200"/>
        <w:rPr>
          <w:rFonts w:hint="eastAsia" w:ascii="宋体" w:hAnsi="宋体" w:eastAsia="宋体" w:cs="宋体"/>
          <w:color w:val="auto"/>
          <w:spacing w:val="2"/>
          <w:szCs w:val="21"/>
        </w:rPr>
      </w:pPr>
      <w:r>
        <w:rPr>
          <w:rFonts w:hint="eastAsia" w:ascii="宋体" w:hAnsi="宋体" w:eastAsia="宋体" w:cs="宋体"/>
          <w:b/>
          <w:bCs/>
          <w:color w:val="auto"/>
          <w:szCs w:val="21"/>
        </w:rPr>
        <w:t>一、</w:t>
      </w:r>
      <w:r>
        <w:rPr>
          <w:rFonts w:hint="eastAsia" w:ascii="宋体" w:hAnsi="宋体" w:eastAsia="宋体" w:cs="宋体"/>
          <w:b/>
          <w:color w:val="auto"/>
          <w:spacing w:val="2"/>
          <w:szCs w:val="21"/>
        </w:rPr>
        <w:t>项目预算及最高限价：</w:t>
      </w:r>
      <w:r>
        <w:rPr>
          <w:rFonts w:hint="eastAsia" w:ascii="宋体" w:hAnsi="宋体" w:eastAsia="宋体" w:cs="宋体"/>
          <w:b/>
          <w:bCs/>
          <w:color w:val="auto"/>
          <w:szCs w:val="21"/>
          <w:lang w:eastAsia="zh-CN"/>
        </w:rPr>
        <w:t>人民币</w:t>
      </w:r>
      <w:r>
        <w:rPr>
          <w:rFonts w:hint="eastAsia" w:ascii="宋体" w:hAnsi="宋体" w:eastAsia="宋体" w:cs="宋体"/>
          <w:b/>
          <w:bCs/>
          <w:color w:val="auto"/>
          <w:szCs w:val="21"/>
          <w:lang w:val="en-US" w:eastAsia="zh-CN"/>
        </w:rPr>
        <w:t>15万</w:t>
      </w:r>
      <w:r>
        <w:rPr>
          <w:rFonts w:hint="eastAsia" w:ascii="宋体" w:hAnsi="宋体" w:eastAsia="宋体" w:cs="宋体"/>
          <w:b/>
          <w:bCs/>
          <w:color w:val="auto"/>
          <w:szCs w:val="21"/>
        </w:rPr>
        <w:t>元</w:t>
      </w:r>
    </w:p>
    <w:p>
      <w:pPr>
        <w:keepNext w:val="0"/>
        <w:keepLines w:val="0"/>
        <w:pageBreakBefore w:val="0"/>
        <w:kinsoku/>
        <w:wordWrap/>
        <w:overflowPunct/>
        <w:topLinePunct w:val="0"/>
        <w:autoSpaceDE/>
        <w:autoSpaceDN/>
        <w:bidi w:val="0"/>
        <w:adjustRightInd w:val="0"/>
        <w:snapToGrid w:val="0"/>
        <w:spacing w:line="36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二、基本要求</w:t>
      </w:r>
    </w:p>
    <w:p>
      <w:pPr>
        <w:keepNext w:val="0"/>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 xml:space="preserve">    1.产品必须是全新、未使用过的原装合格正品，完全符合竞争性</w:t>
      </w:r>
      <w:r>
        <w:rPr>
          <w:rFonts w:hint="eastAsia" w:ascii="宋体" w:hAnsi="宋体" w:eastAsia="宋体" w:cs="宋体"/>
          <w:color w:val="auto"/>
          <w:szCs w:val="21"/>
          <w:lang w:eastAsia="zh-CN"/>
        </w:rPr>
        <w:t>谈判</w:t>
      </w:r>
      <w:r>
        <w:rPr>
          <w:rFonts w:hint="eastAsia" w:ascii="宋体" w:hAnsi="宋体" w:eastAsia="宋体" w:cs="宋体"/>
          <w:color w:val="auto"/>
          <w:szCs w:val="21"/>
        </w:rPr>
        <w:t>文件规定的质量、规格和性能的要求，达到国家或行业规定的标准，实行生产许可证制度的，应提供生产许可证；属于国家强制认证的产品，必须通过认证。</w:t>
      </w:r>
    </w:p>
    <w:p>
      <w:pPr>
        <w:keepNext w:val="0"/>
        <w:keepLines w:val="0"/>
        <w:pageBreakBefore w:val="0"/>
        <w:kinsoku/>
        <w:wordWrap/>
        <w:overflowPunct/>
        <w:topLinePunct w:val="0"/>
        <w:autoSpaceDE/>
        <w:autoSpaceDN/>
        <w:bidi w:val="0"/>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2.供应商提供的产品必须能够满足规范及竞争性</w:t>
      </w:r>
      <w:r>
        <w:rPr>
          <w:rFonts w:hint="eastAsia" w:ascii="宋体" w:hAnsi="宋体" w:eastAsia="宋体" w:cs="宋体"/>
          <w:color w:val="auto"/>
          <w:szCs w:val="21"/>
          <w:lang w:eastAsia="zh-CN"/>
        </w:rPr>
        <w:t>谈判</w:t>
      </w:r>
      <w:r>
        <w:rPr>
          <w:rFonts w:hint="eastAsia" w:ascii="宋体" w:hAnsi="宋体" w:eastAsia="宋体" w:cs="宋体"/>
          <w:color w:val="auto"/>
          <w:szCs w:val="21"/>
        </w:rPr>
        <w:t>文件的要求，同时还必须满足使用要求。产品及安装必须能通过采购</w:t>
      </w:r>
      <w:r>
        <w:rPr>
          <w:rFonts w:hint="eastAsia" w:ascii="宋体" w:hAnsi="宋体" w:eastAsia="宋体" w:cs="宋体"/>
          <w:color w:val="auto"/>
          <w:szCs w:val="21"/>
          <w:lang w:eastAsia="zh-CN"/>
        </w:rPr>
        <w:t>人</w:t>
      </w:r>
      <w:r>
        <w:rPr>
          <w:rFonts w:hint="eastAsia" w:ascii="宋体" w:hAnsi="宋体" w:eastAsia="宋体" w:cs="宋体"/>
          <w:color w:val="auto"/>
          <w:szCs w:val="21"/>
        </w:rPr>
        <w:t>的质量验收、竣工验收等各类验收。</w:t>
      </w:r>
    </w:p>
    <w:p>
      <w:pPr>
        <w:keepNext w:val="0"/>
        <w:keepLines w:val="0"/>
        <w:pageBreakBefore w:val="0"/>
        <w:kinsoku/>
        <w:wordWrap/>
        <w:overflowPunct/>
        <w:topLinePunct w:val="0"/>
        <w:autoSpaceDE/>
        <w:autoSpaceDN/>
        <w:bidi w:val="0"/>
        <w:adjustRightInd w:val="0"/>
        <w:snapToGrid w:val="0"/>
        <w:spacing w:line="36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3.特别强调：</w:t>
      </w:r>
    </w:p>
    <w:p>
      <w:pPr>
        <w:keepNext w:val="0"/>
        <w:keepLines w:val="0"/>
        <w:pageBreakBefore w:val="0"/>
        <w:kinsoku/>
        <w:wordWrap/>
        <w:overflowPunct/>
        <w:topLinePunct w:val="0"/>
        <w:autoSpaceDE/>
        <w:autoSpaceDN/>
        <w:bidi w:val="0"/>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供应商成交后须与采购</w:t>
      </w:r>
      <w:r>
        <w:rPr>
          <w:rFonts w:hint="eastAsia" w:ascii="宋体" w:hAnsi="宋体" w:eastAsia="宋体" w:cs="宋体"/>
          <w:color w:val="auto"/>
          <w:szCs w:val="21"/>
          <w:lang w:eastAsia="zh-CN"/>
        </w:rPr>
        <w:t>人</w:t>
      </w:r>
      <w:r>
        <w:rPr>
          <w:rFonts w:hint="eastAsia" w:ascii="宋体" w:hAnsi="宋体" w:eastAsia="宋体" w:cs="宋体"/>
          <w:color w:val="auto"/>
          <w:szCs w:val="21"/>
        </w:rPr>
        <w:t>在投标产品的“功能配置、技术要求等”方面及时交底沟通；成交供应商开始制造产品之前，采购</w:t>
      </w:r>
      <w:r>
        <w:rPr>
          <w:rFonts w:hint="eastAsia" w:ascii="宋体" w:hAnsi="宋体" w:eastAsia="宋体" w:cs="宋体"/>
          <w:color w:val="auto"/>
          <w:szCs w:val="21"/>
          <w:lang w:eastAsia="zh-CN"/>
        </w:rPr>
        <w:t>人</w:t>
      </w:r>
      <w:r>
        <w:rPr>
          <w:rFonts w:hint="eastAsia" w:ascii="宋体" w:hAnsi="宋体" w:eastAsia="宋体" w:cs="宋体"/>
          <w:color w:val="auto"/>
          <w:szCs w:val="21"/>
        </w:rPr>
        <w:t>有权要求成交供应商对产品进行微调，最终的产品须经采购</w:t>
      </w:r>
      <w:r>
        <w:rPr>
          <w:rFonts w:hint="eastAsia" w:ascii="宋体" w:hAnsi="宋体" w:eastAsia="宋体" w:cs="宋体"/>
          <w:color w:val="auto"/>
          <w:szCs w:val="21"/>
          <w:lang w:eastAsia="zh-CN"/>
        </w:rPr>
        <w:t>人</w:t>
      </w:r>
      <w:r>
        <w:rPr>
          <w:rFonts w:hint="eastAsia" w:ascii="宋体" w:hAnsi="宋体" w:eastAsia="宋体" w:cs="宋体"/>
          <w:color w:val="auto"/>
          <w:szCs w:val="21"/>
        </w:rPr>
        <w:t>签认同意后制造。</w:t>
      </w:r>
    </w:p>
    <w:p>
      <w:pPr>
        <w:keepNext w:val="0"/>
        <w:keepLines w:val="0"/>
        <w:pageBreakBefore w:val="0"/>
        <w:kinsoku/>
        <w:wordWrap/>
        <w:overflowPunct/>
        <w:topLinePunct w:val="0"/>
        <w:autoSpaceDE/>
        <w:autoSpaceDN/>
        <w:bidi w:val="0"/>
        <w:adjustRightInd w:val="0"/>
        <w:snapToGrid w:val="0"/>
        <w:spacing w:line="360" w:lineRule="exact"/>
        <w:ind w:right="210" w:firstLine="422" w:firstLineChars="200"/>
        <w:jc w:val="left"/>
        <w:rPr>
          <w:rFonts w:hint="eastAsia" w:ascii="宋体" w:hAnsi="宋体" w:eastAsia="宋体" w:cs="宋体"/>
          <w:b/>
          <w:color w:val="auto"/>
          <w:szCs w:val="21"/>
        </w:rPr>
      </w:pPr>
      <w:r>
        <w:rPr>
          <w:rFonts w:hint="eastAsia" w:ascii="宋体" w:hAnsi="宋体" w:eastAsia="宋体" w:cs="宋体"/>
          <w:b/>
          <w:color w:val="auto"/>
          <w:szCs w:val="21"/>
        </w:rPr>
        <w:t>三、采购清单及技术要求：</w:t>
      </w:r>
    </w:p>
    <w:tbl>
      <w:tblPr>
        <w:tblStyle w:val="21"/>
        <w:tblW w:w="8317" w:type="dxa"/>
        <w:tblInd w:w="0" w:type="dxa"/>
        <w:shd w:val="clear" w:color="auto" w:fill="auto"/>
        <w:tblLayout w:type="fixed"/>
        <w:tblCellMar>
          <w:top w:w="0" w:type="dxa"/>
          <w:left w:w="0" w:type="dxa"/>
          <w:bottom w:w="0" w:type="dxa"/>
          <w:right w:w="0" w:type="dxa"/>
        </w:tblCellMar>
      </w:tblPr>
      <w:tblGrid>
        <w:gridCol w:w="450"/>
        <w:gridCol w:w="1080"/>
        <w:gridCol w:w="1135"/>
        <w:gridCol w:w="488"/>
        <w:gridCol w:w="575"/>
        <w:gridCol w:w="4589"/>
      </w:tblGrid>
      <w:tr>
        <w:tblPrEx>
          <w:shd w:val="clear" w:color="auto" w:fill="auto"/>
          <w:tblCellMar>
            <w:top w:w="0" w:type="dxa"/>
            <w:left w:w="0" w:type="dxa"/>
            <w:bottom w:w="0" w:type="dxa"/>
            <w:right w:w="0" w:type="dxa"/>
          </w:tblCellMar>
        </w:tblPrEx>
        <w:trPr>
          <w:trHeight w:val="426"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i w:val="0"/>
                <w:color w:val="auto"/>
                <w:sz w:val="21"/>
                <w:szCs w:val="21"/>
                <w:u w:val="none"/>
              </w:rPr>
            </w:pPr>
            <w:r>
              <w:rPr>
                <w:rFonts w:hint="eastAsia" w:ascii="宋体" w:hAnsi="宋体" w:eastAsia="宋体" w:cs="宋体"/>
                <w:b w:val="0"/>
                <w:bCs/>
                <w:i w:val="0"/>
                <w:color w:val="auto"/>
                <w:kern w:val="0"/>
                <w:sz w:val="21"/>
                <w:szCs w:val="21"/>
                <w:u w:val="none"/>
                <w:lang w:val="en-US" w:eastAsia="zh-CN" w:bidi="ar"/>
              </w:rPr>
              <w:t>序号</w:t>
            </w:r>
          </w:p>
        </w:tc>
        <w:tc>
          <w:tcPr>
            <w:tcW w:w="22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i w:val="0"/>
                <w:color w:val="auto"/>
                <w:sz w:val="21"/>
                <w:szCs w:val="21"/>
                <w:u w:val="none"/>
              </w:rPr>
            </w:pPr>
            <w:r>
              <w:rPr>
                <w:rFonts w:hint="eastAsia" w:ascii="宋体" w:hAnsi="宋体" w:eastAsia="宋体" w:cs="宋体"/>
                <w:b w:val="0"/>
                <w:bCs/>
                <w:i w:val="0"/>
                <w:color w:val="auto"/>
                <w:kern w:val="0"/>
                <w:sz w:val="21"/>
                <w:szCs w:val="21"/>
                <w:u w:val="none"/>
                <w:lang w:val="en-US" w:eastAsia="zh-CN" w:bidi="ar"/>
              </w:rPr>
              <w:t>名称</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i w:val="0"/>
                <w:color w:val="auto"/>
                <w:sz w:val="21"/>
                <w:szCs w:val="21"/>
                <w:u w:val="none"/>
              </w:rPr>
            </w:pPr>
            <w:r>
              <w:rPr>
                <w:rFonts w:hint="eastAsia" w:ascii="宋体" w:hAnsi="宋体" w:eastAsia="宋体" w:cs="宋体"/>
                <w:b w:val="0"/>
                <w:bCs/>
                <w:i w:val="0"/>
                <w:color w:val="auto"/>
                <w:kern w:val="0"/>
                <w:sz w:val="21"/>
                <w:szCs w:val="21"/>
                <w:u w:val="none"/>
                <w:lang w:val="en-US" w:eastAsia="zh-CN" w:bidi="ar"/>
              </w:rPr>
              <w:t>单位</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i w:val="0"/>
                <w:color w:val="auto"/>
                <w:sz w:val="21"/>
                <w:szCs w:val="21"/>
                <w:u w:val="none"/>
              </w:rPr>
            </w:pPr>
            <w:r>
              <w:rPr>
                <w:rFonts w:hint="eastAsia" w:ascii="宋体" w:hAnsi="宋体" w:eastAsia="宋体" w:cs="宋体"/>
                <w:b w:val="0"/>
                <w:bCs/>
                <w:i w:val="0"/>
                <w:color w:val="auto"/>
                <w:kern w:val="0"/>
                <w:sz w:val="21"/>
                <w:szCs w:val="21"/>
                <w:u w:val="none"/>
                <w:lang w:val="en-US" w:eastAsia="zh-CN" w:bidi="ar"/>
              </w:rPr>
              <w:t>数量</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i w:val="0"/>
                <w:color w:val="auto"/>
                <w:sz w:val="21"/>
                <w:szCs w:val="21"/>
                <w:u w:val="none"/>
              </w:rPr>
            </w:pPr>
            <w:r>
              <w:rPr>
                <w:rFonts w:hint="eastAsia" w:ascii="宋体" w:hAnsi="宋体" w:eastAsia="宋体" w:cs="宋体"/>
                <w:b w:val="0"/>
                <w:bCs/>
                <w:i w:val="0"/>
                <w:color w:val="auto"/>
                <w:kern w:val="0"/>
                <w:sz w:val="21"/>
                <w:szCs w:val="21"/>
                <w:u w:val="none"/>
                <w:lang w:val="en-US" w:eastAsia="zh-CN" w:bidi="ar"/>
              </w:rPr>
              <w:t>技术参数</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单兵装备</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生活物资</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背囊</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07式丛林迷彩</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auto"/>
                <w:sz w:val="21"/>
                <w:szCs w:val="21"/>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睡袋</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200×60M</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auto"/>
                <w:sz w:val="21"/>
                <w:szCs w:val="21"/>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丛林迷彩服（含帽）</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套</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07式丛林迷彩、防静电丝、防撕裂面料</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auto"/>
                <w:sz w:val="21"/>
                <w:szCs w:val="21"/>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作训鞋</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双</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07式丛林迷彩，3517厂</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auto"/>
                <w:sz w:val="21"/>
                <w:szCs w:val="21"/>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个人洗漱用品</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套</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含牙膏、牙刷、军用牙缸、毛巾、香皂、洗头膏、洗漱袋</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auto"/>
                <w:sz w:val="21"/>
                <w:szCs w:val="21"/>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便携式餐具</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套</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特大号不锈钢便携式餐盒及餐勺</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auto"/>
                <w:sz w:val="21"/>
                <w:szCs w:val="21"/>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军用脸盆</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07黄色</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auto"/>
                <w:sz w:val="21"/>
                <w:szCs w:val="21"/>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军用水壶</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10式</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9</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auto"/>
                <w:sz w:val="21"/>
                <w:szCs w:val="21"/>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编织外腰带</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根</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07式军绿色，高密度帆布材质</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auto"/>
                <w:sz w:val="21"/>
                <w:szCs w:val="21"/>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民兵标志</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套</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07式标准尺寸（臂章、领帖、胸牌）</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11</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auto"/>
                <w:sz w:val="21"/>
                <w:szCs w:val="21"/>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分体雨衣</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套</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07式丛林迷彩</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auto"/>
                <w:sz w:val="21"/>
                <w:szCs w:val="21"/>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军用便携小板凳</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张</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双层迷彩布小马轧</w:t>
            </w:r>
          </w:p>
        </w:tc>
      </w:tr>
      <w:tr>
        <w:tblPrEx>
          <w:tblCellMar>
            <w:top w:w="0" w:type="dxa"/>
            <w:left w:w="0" w:type="dxa"/>
            <w:bottom w:w="0" w:type="dxa"/>
            <w:right w:w="0" w:type="dxa"/>
          </w:tblCellMar>
        </w:tblPrEx>
        <w:trPr>
          <w:trHeight w:val="166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auto"/>
                <w:sz w:val="21"/>
                <w:szCs w:val="21"/>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反光背心</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面料：双层涤纶鱼鳞网眼布</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克重：120克</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颜色：荧光绿</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辅料：300D防水低弹牛津布</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反光条：标准二类高亮反光条</w:t>
            </w:r>
          </w:p>
        </w:tc>
      </w:tr>
      <w:tr>
        <w:tblPrEx>
          <w:tblCellMar>
            <w:top w:w="0" w:type="dxa"/>
            <w:left w:w="0" w:type="dxa"/>
            <w:bottom w:w="0" w:type="dxa"/>
            <w:right w:w="0" w:type="dxa"/>
          </w:tblCellMar>
        </w:tblPrEx>
        <w:trPr>
          <w:trHeight w:val="683"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auto"/>
                <w:sz w:val="21"/>
                <w:szCs w:val="21"/>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81型班用单帐篷</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4.8米*8米*3.5米，篷身400D*400D丛林迷彩防水帆布及防水牛津布，篷架为1.2mm不锈钢管</w:t>
            </w:r>
          </w:p>
        </w:tc>
      </w:tr>
      <w:tr>
        <w:tblPrEx>
          <w:tblCellMar>
            <w:top w:w="0" w:type="dxa"/>
            <w:left w:w="0" w:type="dxa"/>
            <w:bottom w:w="0" w:type="dxa"/>
            <w:right w:w="0" w:type="dxa"/>
          </w:tblCellMar>
        </w:tblPrEx>
        <w:trPr>
          <w:trHeight w:val="721"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auto"/>
                <w:sz w:val="21"/>
                <w:szCs w:val="21"/>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强光手电</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支</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防水、抗压、抗摔、防爆，28*160mm，灯泡使用寿命10万小时，持续照明8小时，提供防爆证书</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维稳执勤</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防爆头盔</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顶</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PC材质，带透明PC面罩，防撞击，15.5×24.5×29.5CM</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17</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auto"/>
                <w:sz w:val="21"/>
                <w:szCs w:val="21"/>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警棍</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GA-017型T型PC防暴棍，61×30CM</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18</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auto"/>
                <w:sz w:val="21"/>
                <w:szCs w:val="21"/>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盾牌（含盾牌架）</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520×900MM，迷彩PC材料，厚度3.5MM</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19</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auto"/>
                <w:sz w:val="21"/>
                <w:szCs w:val="21"/>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大木锤</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把</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长95CM,重4.2公斤，硬木防蛀</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auto"/>
                <w:sz w:val="21"/>
                <w:szCs w:val="21"/>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军用钢钎</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把</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军绿色、长1.2米，直径20厘米</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21</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auto"/>
                <w:sz w:val="21"/>
                <w:szCs w:val="21"/>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工兵锹</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把</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锹为军绿色，锰钢材质，柄为硬质木材；118CM</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auto"/>
                <w:sz w:val="21"/>
                <w:szCs w:val="21"/>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工兵镐</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把</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镐为军绿色，高碳钢材质，柄为硬质木材；85CM</w:t>
            </w:r>
          </w:p>
        </w:tc>
      </w:tr>
      <w:tr>
        <w:tblPrEx>
          <w:tblCellMar>
            <w:top w:w="0" w:type="dxa"/>
            <w:left w:w="0" w:type="dxa"/>
            <w:bottom w:w="0" w:type="dxa"/>
            <w:right w:w="0" w:type="dxa"/>
          </w:tblCellMar>
        </w:tblPrEx>
        <w:trPr>
          <w:trHeight w:val="1011"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auto"/>
                <w:sz w:val="21"/>
                <w:szCs w:val="21"/>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救生圈（含救生绳）</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套</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材质为高密度聚乙烯塑料，内填聚氨酯泡沫，表面光滑，不需要充气，救生绳直径为8mm，钢丝内芯直径为2.3mm，破断拉力为960公斤，安全钩固定到位</w:t>
            </w:r>
          </w:p>
        </w:tc>
      </w:tr>
      <w:tr>
        <w:tblPrEx>
          <w:tblCellMar>
            <w:top w:w="0" w:type="dxa"/>
            <w:left w:w="0" w:type="dxa"/>
            <w:bottom w:w="0" w:type="dxa"/>
            <w:right w:w="0" w:type="dxa"/>
          </w:tblCellMar>
        </w:tblPrEx>
        <w:trPr>
          <w:trHeight w:val="1011"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auto"/>
                <w:sz w:val="21"/>
                <w:szCs w:val="21"/>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救生衣</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加厚牛筋布料，密度高，防水性强，正反4片反光条，带救生哨，救生衣白字黑体喷印，正面：钟楼（位于口袋上方，单字宽12cm*高13cm），反面：民兵（居中，单字宽12cm*高13cm）</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auto"/>
                <w:sz w:val="21"/>
                <w:szCs w:val="21"/>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救生衣（冲锋舟专用救生衣）</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海事专用，材质为PVC，型号RL03，红色，浮力&gt;150N</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26</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auto"/>
                <w:sz w:val="21"/>
                <w:szCs w:val="21"/>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军用雨靴</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双</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际华3539黑色高帮雨鞋，防滑鞋底</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27</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auto"/>
                <w:sz w:val="21"/>
                <w:szCs w:val="21"/>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手提式防爆探照灯</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9</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防爆，持续照明12小时，提供防爆证书</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28</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auto"/>
                <w:sz w:val="21"/>
                <w:szCs w:val="21"/>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伸缩梯</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不锈钢双向伸缩，最高6米</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29</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通讯指挥</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多功能喊话器</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大功率可充电式，扩音、录音、警报、照明</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auto"/>
                <w:sz w:val="21"/>
                <w:szCs w:val="21"/>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对讲机</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欧标A720T数字防水对讲机，存储16个频道</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31</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auto"/>
                <w:sz w:val="21"/>
                <w:szCs w:val="21"/>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口哨</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15</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钛金高音金属哨</w:t>
            </w:r>
          </w:p>
        </w:tc>
      </w:tr>
      <w:tr>
        <w:tblPrEx>
          <w:tblCellMar>
            <w:top w:w="0" w:type="dxa"/>
            <w:left w:w="0" w:type="dxa"/>
            <w:bottom w:w="0" w:type="dxa"/>
            <w:right w:w="0" w:type="dxa"/>
          </w:tblCellMar>
        </w:tblPrEx>
        <w:trPr>
          <w:trHeight w:val="931"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32</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配套设施</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器材架（承重1吨/层）</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组</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12</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颜色为军绿色,200*200*60CM。立柱：60*80*2.0MMC型钢，横梁：50*100*1.5MM抱梁，含专用盾牌、警棍、工兵镐、工兵镐、大木锤放置架</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auto"/>
                <w:sz w:val="21"/>
                <w:szCs w:val="21"/>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灭火器（含箱）</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组</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4KG干粉灭火器2瓶，4*2灭火箱1只</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auto"/>
                <w:sz w:val="21"/>
                <w:szCs w:val="21"/>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汽油风镐</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58三用油镐，配5个镐头</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auto"/>
                <w:sz w:val="21"/>
                <w:szCs w:val="21"/>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应急发电机5kw</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8kw，220v-380v通用</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36</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auto"/>
                <w:sz w:val="21"/>
                <w:szCs w:val="21"/>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电焊机</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双电压自动切换，焊接厚度2-15mm</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37</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auto"/>
                <w:sz w:val="21"/>
                <w:szCs w:val="21"/>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汽油无齿锯</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最大功率3.7kw，切割直径10cm，排量106.88cc，切割深度160mm</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38</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auto"/>
                <w:sz w:val="21"/>
                <w:szCs w:val="21"/>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破拆机</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风冷单缸两冲程，转速10500转/分钟，切割深度115mm</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39</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auto"/>
                <w:sz w:val="21"/>
                <w:szCs w:val="21"/>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救生担架</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副</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军绿色折叠单价，承重200kg</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auto"/>
                <w:sz w:val="21"/>
                <w:szCs w:val="21"/>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抛绳包</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绳直径8mm，高强度丙纶，长51米</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通用性装备</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望远镜</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62式军用望远镜</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auto"/>
                <w:sz w:val="21"/>
                <w:szCs w:val="21"/>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侦察作业箱</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套</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含侦察器材</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auto"/>
                <w:sz w:val="21"/>
                <w:szCs w:val="21"/>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夜视仪</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套</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高清</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auto"/>
                <w:sz w:val="21"/>
                <w:szCs w:val="21"/>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急救箱</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套</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369"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auto"/>
                <w:sz w:val="21"/>
                <w:szCs w:val="21"/>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炊事车</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辆</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连用给养单元</w:t>
            </w:r>
          </w:p>
        </w:tc>
      </w:tr>
    </w:tbl>
    <w:p>
      <w:pPr>
        <w:keepNext w:val="0"/>
        <w:keepLines w:val="0"/>
        <w:pageBreakBefore w:val="0"/>
        <w:widowControl w:val="0"/>
        <w:kinsoku/>
        <w:wordWrap/>
        <w:overflowPunct/>
        <w:topLinePunct w:val="0"/>
        <w:autoSpaceDE/>
        <w:autoSpaceDN/>
        <w:bidi w:val="0"/>
        <w:adjustRightInd w:val="0"/>
        <w:snapToGrid w:val="0"/>
        <w:spacing w:line="360" w:lineRule="exact"/>
        <w:ind w:right="210" w:firstLine="42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四</w:t>
      </w:r>
      <w:r>
        <w:rPr>
          <w:rFonts w:hint="eastAsia" w:ascii="宋体" w:hAnsi="宋体" w:eastAsia="宋体" w:cs="宋体"/>
          <w:b/>
          <w:color w:val="auto"/>
          <w:szCs w:val="21"/>
          <w:highlight w:val="none"/>
        </w:rPr>
        <w:t>、报价方式</w:t>
      </w:r>
    </w:p>
    <w:p>
      <w:pPr>
        <w:keepNext w:val="0"/>
        <w:keepLines w:val="0"/>
        <w:pageBreakBefore w:val="0"/>
        <w:widowControl w:val="0"/>
        <w:tabs>
          <w:tab w:val="left" w:pos="284"/>
        </w:tabs>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本项目谈判报价为</w:t>
      </w:r>
      <w:r>
        <w:rPr>
          <w:rFonts w:hint="eastAsia" w:ascii="宋体" w:hAnsi="宋体" w:eastAsia="宋体" w:cs="宋体"/>
          <w:b/>
          <w:bCs/>
          <w:color w:val="auto"/>
          <w:szCs w:val="21"/>
          <w:highlight w:val="none"/>
          <w:u w:val="single"/>
        </w:rPr>
        <w:t>固定单价</w:t>
      </w:r>
      <w:r>
        <w:rPr>
          <w:rFonts w:hint="eastAsia" w:ascii="宋体" w:hAnsi="宋体" w:eastAsia="宋体" w:cs="宋体"/>
          <w:color w:val="auto"/>
          <w:szCs w:val="21"/>
          <w:highlight w:val="none"/>
        </w:rPr>
        <w:t>，谈判总价应包括竞争性谈判文件所确定的采购范围相应货物和服务的供货、包装、运输、保险、安装调试、管理、维护、劳务、培训、验收、办公设备、设备、工具、耗材、运送工具及耗材、利润、风险、税金及政策性文件规定等各项应有费用，以及为完成该项货物或者服务项目所涉及到的一切相关费用，采购人不再支付其他任何费用。</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报价货币为人民币，评审时以人民币为准。</w:t>
      </w: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2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五、交货期及交货地点</w:t>
      </w: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22" w:firstLineChars="20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合同签订后</w:t>
      </w:r>
      <w:r>
        <w:rPr>
          <w:rFonts w:hint="eastAsia" w:ascii="宋体" w:hAnsi="宋体" w:eastAsia="宋体" w:cs="宋体"/>
          <w:b/>
          <w:bCs w:val="0"/>
          <w:color w:val="auto"/>
          <w:sz w:val="21"/>
          <w:szCs w:val="21"/>
          <w:highlight w:val="none"/>
          <w:lang w:val="en-US" w:eastAsia="zh-CN"/>
        </w:rPr>
        <w:t>10</w:t>
      </w:r>
      <w:r>
        <w:rPr>
          <w:rFonts w:hint="eastAsia" w:ascii="宋体" w:hAnsi="宋体" w:eastAsia="宋体" w:cs="宋体"/>
          <w:b/>
          <w:bCs w:val="0"/>
          <w:color w:val="auto"/>
          <w:sz w:val="21"/>
          <w:szCs w:val="21"/>
          <w:highlight w:val="none"/>
        </w:rPr>
        <w:t>日内送至招标人指定地点并安装调试完成。</w:t>
      </w: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2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六、验收标准</w:t>
      </w: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产品到达交货地点后，采购人和成交供应商在2日内共同检验产品数量、质量等状况，由成交供应商负责并承担相关费用，采购人应积极配合。成交供应商进行安装调试并经过性能测试后，由采购人组织联合验收小组验收。验收合格后，双方在《验收报告》上签字确认。</w:t>
      </w: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2.对产品的外观或质量问题，采购人应在发现和应当发现之日起30日内向成交供应商提出书面异议，成交供应商在接到书面异议后，应当在2日内负责处理。采购人逾期提出的，对所交产品视为符合合同的规定。</w:t>
      </w: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3.经双方共同验收，产品性能参数达不到招标合同要求的，采购人可以拒收，并可以解除合同。</w:t>
      </w: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2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七、质保期及售后服务</w:t>
      </w: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免费质保期为验收合格起不低于</w:t>
      </w:r>
      <w:r>
        <w:rPr>
          <w:rFonts w:hint="eastAsia" w:ascii="宋体" w:hAnsi="宋体" w:cs="宋体"/>
          <w:color w:val="auto"/>
          <w:szCs w:val="21"/>
          <w:highlight w:val="none"/>
          <w:lang w:val="en-US" w:eastAsia="zh-CN"/>
        </w:rPr>
        <w:t>壹</w:t>
      </w:r>
      <w:r>
        <w:rPr>
          <w:rFonts w:hint="eastAsia" w:ascii="宋体" w:hAnsi="宋体" w:eastAsia="宋体" w:cs="宋体"/>
          <w:color w:val="auto"/>
          <w:szCs w:val="21"/>
          <w:highlight w:val="none"/>
        </w:rPr>
        <w:t>年。</w:t>
      </w: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2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八</w:t>
      </w:r>
      <w:r>
        <w:rPr>
          <w:rFonts w:hint="eastAsia" w:ascii="宋体" w:hAnsi="宋体" w:eastAsia="宋体" w:cs="宋体"/>
          <w:b/>
          <w:color w:val="auto"/>
          <w:szCs w:val="21"/>
          <w:highlight w:val="none"/>
        </w:rPr>
        <w:t>、付款方式</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双方签订合同并生效后，中标人交货并安装调试完毕，经</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验收合格后，一次性付清。</w:t>
      </w:r>
    </w:p>
    <w:p>
      <w:pPr>
        <w:jc w:val="center"/>
        <w:rPr>
          <w:rFonts w:hint="eastAsia" w:ascii="宋体" w:hAnsi="宋体" w:eastAsia="宋体" w:cs="宋体"/>
          <w:b/>
          <w:color w:val="auto"/>
          <w:sz w:val="30"/>
          <w:szCs w:val="30"/>
        </w:rPr>
      </w:pPr>
      <w:r>
        <w:rPr>
          <w:rFonts w:hint="eastAsia" w:ascii="宋体" w:hAnsi="宋体" w:eastAsia="宋体" w:cs="宋体"/>
          <w:b/>
          <w:color w:val="auto"/>
          <w:sz w:val="30"/>
          <w:szCs w:val="30"/>
        </w:rPr>
        <w:br w:type="page"/>
      </w:r>
    </w:p>
    <w:p>
      <w:pPr>
        <w:pStyle w:val="3"/>
        <w:rPr>
          <w:rFonts w:hint="eastAsia" w:ascii="宋体" w:hAnsi="宋体" w:eastAsia="宋体" w:cs="宋体"/>
          <w:color w:val="auto"/>
        </w:rPr>
      </w:pPr>
      <w:bookmarkStart w:id="3" w:name="_Toc17536927"/>
      <w:r>
        <w:rPr>
          <w:rFonts w:hint="eastAsia" w:ascii="宋体" w:hAnsi="宋体" w:eastAsia="宋体" w:cs="宋体"/>
          <w:color w:val="auto"/>
        </w:rPr>
        <w:t>第三章  合同主要条款</w:t>
      </w:r>
      <w:bookmarkEnd w:id="3"/>
    </w:p>
    <w:p>
      <w:pPr>
        <w:pStyle w:val="11"/>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lang w:val="zh-CN"/>
        </w:rPr>
        <w:t>采购人（以下称甲</w:t>
      </w:r>
      <w:r>
        <w:rPr>
          <w:rFonts w:hint="eastAsia" w:ascii="宋体" w:hAnsi="宋体" w:eastAsia="宋体" w:cs="宋体"/>
          <w:b/>
          <w:color w:val="auto"/>
          <w:sz w:val="21"/>
          <w:szCs w:val="21"/>
        </w:rPr>
        <w:t xml:space="preserve">方）:                       </w:t>
      </w:r>
      <w:r>
        <w:rPr>
          <w:rFonts w:hint="eastAsia" w:ascii="宋体" w:hAnsi="宋体" w:eastAsia="宋体" w:cs="宋体"/>
          <w:color w:val="auto"/>
          <w:sz w:val="21"/>
          <w:szCs w:val="21"/>
        </w:rPr>
        <w:t>合同编号：</w:t>
      </w:r>
    </w:p>
    <w:p>
      <w:pPr>
        <w:pStyle w:val="11"/>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color w:val="auto"/>
          <w:sz w:val="21"/>
          <w:szCs w:val="21"/>
          <w:u w:val="single"/>
        </w:rPr>
      </w:pPr>
      <w:r>
        <w:rPr>
          <w:rFonts w:hint="eastAsia" w:ascii="宋体" w:hAnsi="宋体" w:eastAsia="宋体" w:cs="宋体"/>
          <w:b/>
          <w:color w:val="auto"/>
          <w:sz w:val="21"/>
          <w:szCs w:val="21"/>
        </w:rPr>
        <w:t>供应商（</w:t>
      </w:r>
      <w:r>
        <w:rPr>
          <w:rFonts w:hint="eastAsia" w:ascii="宋体" w:hAnsi="宋体" w:eastAsia="宋体" w:cs="宋体"/>
          <w:b/>
          <w:color w:val="auto"/>
          <w:sz w:val="21"/>
          <w:szCs w:val="21"/>
          <w:lang w:val="zh-CN"/>
        </w:rPr>
        <w:t>以下称</w:t>
      </w:r>
      <w:r>
        <w:rPr>
          <w:rFonts w:hint="eastAsia" w:ascii="宋体" w:hAnsi="宋体" w:eastAsia="宋体" w:cs="宋体"/>
          <w:b/>
          <w:color w:val="auto"/>
          <w:sz w:val="21"/>
          <w:szCs w:val="21"/>
        </w:rPr>
        <w:t xml:space="preserve">乙方）:                       </w:t>
      </w:r>
      <w:r>
        <w:rPr>
          <w:rFonts w:hint="eastAsia" w:ascii="宋体" w:hAnsi="宋体" w:eastAsia="宋体" w:cs="宋体"/>
          <w:color w:val="auto"/>
          <w:sz w:val="21"/>
          <w:szCs w:val="21"/>
        </w:rPr>
        <w:t>签订地点：</w:t>
      </w:r>
    </w:p>
    <w:p>
      <w:pPr>
        <w:pStyle w:val="6"/>
        <w:keepNext w:val="0"/>
        <w:keepLines w:val="0"/>
        <w:pageBreakBefore w:val="0"/>
        <w:widowControl w:val="0"/>
        <w:kinsoku/>
        <w:wordWrap/>
        <w:overflowPunct/>
        <w:topLinePunct w:val="0"/>
        <w:bidi w:val="0"/>
        <w:adjustRightInd w:val="0"/>
        <w:snapToGrid w:val="0"/>
        <w:spacing w:line="400" w:lineRule="exact"/>
        <w:ind w:firstLine="4617" w:firstLineChars="2199"/>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 xml:space="preserve">合同时间: </w:t>
      </w:r>
      <w:r>
        <w:rPr>
          <w:rFonts w:hint="eastAsia" w:ascii="宋体" w:hAnsi="宋体" w:eastAsia="宋体" w:cs="宋体"/>
          <w:color w:val="auto"/>
          <w:sz w:val="21"/>
          <w:szCs w:val="21"/>
          <w:u w:val="single"/>
        </w:rPr>
        <w:t xml:space="preserve">    年   月   日</w:t>
      </w:r>
    </w:p>
    <w:p>
      <w:pPr>
        <w:pStyle w:val="11"/>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甲乙双方依据《中华人民共和国合同法》以及有关法律、法规的规定，经协商一致，订立本合同，以便共同遵守。</w:t>
      </w:r>
    </w:p>
    <w:p>
      <w:pPr>
        <w:pStyle w:val="11"/>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第一条 合同标的</w:t>
      </w:r>
    </w:p>
    <w:p>
      <w:pPr>
        <w:keepNext w:val="0"/>
        <w:keepLines w:val="0"/>
        <w:pageBreakBefore w:val="0"/>
        <w:widowControl/>
        <w:kinsoku/>
        <w:wordWrap/>
        <w:overflowPunct/>
        <w:topLinePunct w:val="0"/>
        <w:autoSpaceDE/>
        <w:autoSpaceDN/>
        <w:bidi w:val="0"/>
        <w:adjustRightInd w:val="0"/>
        <w:snapToGrid w:val="0"/>
        <w:spacing w:line="360" w:lineRule="exact"/>
        <w:ind w:firstLine="424" w:firstLineChars="202"/>
        <w:jc w:val="left"/>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乙方根据甲方需求提供下列产品：         ，产品名称、规格及数量详见乙方谈判响应文件。</w:t>
      </w:r>
    </w:p>
    <w:p>
      <w:pPr>
        <w:pStyle w:val="11"/>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第二条 合同价格</w:t>
      </w:r>
    </w:p>
    <w:p>
      <w:pPr>
        <w:pStyle w:val="11"/>
        <w:keepNext w:val="0"/>
        <w:keepLines w:val="0"/>
        <w:pageBreakBefore w:val="0"/>
        <w:kinsoku/>
        <w:wordWrap/>
        <w:overflowPunct/>
        <w:topLinePunct w:val="0"/>
        <w:autoSpaceDE/>
        <w:autoSpaceDN/>
        <w:bidi w:val="0"/>
        <w:adjustRightInd w:val="0"/>
        <w:snapToGrid w:val="0"/>
        <w:spacing w:line="360" w:lineRule="exact"/>
        <w:ind w:firstLine="426" w:firstLineChars="202"/>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签约合同总价（人民币，下同）：</w:t>
      </w:r>
      <w:r>
        <w:rPr>
          <w:rFonts w:hint="eastAsia" w:ascii="宋体" w:hAnsi="宋体" w:eastAsia="宋体" w:cs="宋体"/>
          <w:b/>
          <w:color w:val="auto"/>
          <w:sz w:val="21"/>
          <w:szCs w:val="21"/>
          <w:u w:val="single"/>
        </w:rPr>
        <w:t xml:space="preserve">             元</w:t>
      </w:r>
      <w:r>
        <w:rPr>
          <w:rFonts w:hint="eastAsia" w:ascii="宋体" w:hAnsi="宋体" w:eastAsia="宋体" w:cs="宋体"/>
          <w:b/>
          <w:color w:val="auto"/>
          <w:sz w:val="21"/>
          <w:szCs w:val="21"/>
        </w:rPr>
        <w:t xml:space="preserve">（小写       ）。 </w:t>
      </w:r>
    </w:p>
    <w:p>
      <w:pPr>
        <w:pStyle w:val="11"/>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合同总价款是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供应商认为需要的其他费用等。</w:t>
      </w:r>
    </w:p>
    <w:p>
      <w:pPr>
        <w:pStyle w:val="11"/>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本合同总价款还包含乙方应当提供的伴随服务/售后服务费用。</w:t>
      </w:r>
    </w:p>
    <w:p>
      <w:pPr>
        <w:pStyle w:val="11"/>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第三条 组成本合同的有关文件</w:t>
      </w:r>
    </w:p>
    <w:p>
      <w:pPr>
        <w:pStyle w:val="11"/>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下列与本次采购活动有关的文件及有关附件是本合同不可分割的组成部分，与本合同具有同等法律效力，这些文件包括但不限于：</w:t>
      </w:r>
    </w:p>
    <w:p>
      <w:pPr>
        <w:pStyle w:val="11"/>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（1）竞争性谈判文件（编号：   ）           （2）乙方提供的谈判响应文件； </w:t>
      </w:r>
    </w:p>
    <w:p>
      <w:pPr>
        <w:pStyle w:val="11"/>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（3）成交通知书；                          （4）甲乙双方商定的其他文件等。</w:t>
      </w:r>
    </w:p>
    <w:p>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hint="eastAsia" w:ascii="宋体" w:hAnsi="宋体" w:eastAsia="宋体" w:cs="宋体"/>
          <w:b/>
          <w:color w:val="auto"/>
          <w:szCs w:val="21"/>
        </w:rPr>
      </w:pPr>
      <w:r>
        <w:rPr>
          <w:rFonts w:hint="eastAsia" w:ascii="宋体" w:hAnsi="宋体" w:eastAsia="宋体" w:cs="宋体"/>
          <w:b/>
          <w:color w:val="auto"/>
          <w:szCs w:val="21"/>
        </w:rPr>
        <w:t>第四条 权利保证</w:t>
      </w:r>
    </w:p>
    <w:p>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Cs w:val="21"/>
        </w:rPr>
      </w:pPr>
      <w:r>
        <w:rPr>
          <w:rFonts w:hint="eastAsia" w:ascii="宋体" w:hAnsi="宋体" w:eastAsia="宋体" w:cs="宋体"/>
          <w:color w:val="auto"/>
          <w:szCs w:val="21"/>
        </w:rPr>
        <w:t>乙方应保证甲方在使用该货物或其任何一部分时不受第三方提出侵犯其专利权</w:t>
      </w:r>
      <w:r>
        <w:rPr>
          <w:rFonts w:hint="eastAsia" w:ascii="宋体" w:hAnsi="宋体" w:eastAsia="宋体" w:cs="宋体"/>
          <w:color w:val="auto"/>
          <w:shd w:val="clear" w:color="auto" w:fill="FFFFFF"/>
        </w:rPr>
        <w:t>、著作权、商标权等知识产权的起诉。</w:t>
      </w:r>
      <w:r>
        <w:rPr>
          <w:rFonts w:hint="eastAsia" w:ascii="宋体" w:hAnsi="宋体" w:eastAsia="宋体" w:cs="宋体"/>
          <w:color w:val="auto"/>
          <w:szCs w:val="21"/>
        </w:rPr>
        <w:t>一旦出现侵权、索赔或诉讼，乙方应承担全部责任，同时甲方有权解除本合同。</w:t>
      </w:r>
    </w:p>
    <w:p>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hint="eastAsia" w:ascii="宋体" w:hAnsi="宋体" w:eastAsia="宋体" w:cs="宋体"/>
          <w:b/>
          <w:color w:val="auto"/>
          <w:szCs w:val="21"/>
        </w:rPr>
      </w:pPr>
      <w:r>
        <w:rPr>
          <w:rFonts w:hint="eastAsia" w:ascii="宋体" w:hAnsi="宋体" w:eastAsia="宋体" w:cs="宋体"/>
          <w:b/>
          <w:color w:val="auto"/>
          <w:szCs w:val="21"/>
        </w:rPr>
        <w:t>第五条 质量保证</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szCs w:val="21"/>
        </w:rPr>
      </w:pPr>
      <w:r>
        <w:rPr>
          <w:rFonts w:hint="eastAsia" w:ascii="宋体" w:hAnsi="宋体" w:eastAsia="宋体" w:cs="宋体"/>
          <w:color w:val="auto"/>
          <w:szCs w:val="21"/>
        </w:rPr>
        <w:t>1.乙方所提供的货物的技术规格应与竞争性谈判文件规定的技术规格及所附的“技术规格响应表”相一致；若技术性能无特殊说明，则按国家有关部门最新颁布的标准及规范为准。</w:t>
      </w:r>
    </w:p>
    <w:p>
      <w:pPr>
        <w:pStyle w:val="11"/>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hint="eastAsia" w:ascii="宋体" w:hAnsi="宋体" w:eastAsia="宋体" w:cs="宋体"/>
          <w:b/>
          <w:color w:val="auto"/>
          <w:szCs w:val="21"/>
        </w:rPr>
      </w:pPr>
      <w:r>
        <w:rPr>
          <w:rFonts w:hint="eastAsia" w:ascii="宋体" w:hAnsi="宋体" w:eastAsia="宋体" w:cs="宋体"/>
          <w:b/>
          <w:color w:val="auto"/>
          <w:szCs w:val="21"/>
        </w:rPr>
        <w:t>第六条 包装要求</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szCs w:val="21"/>
        </w:rPr>
      </w:pPr>
      <w:r>
        <w:rPr>
          <w:rFonts w:hint="eastAsia" w:ascii="宋体" w:hAnsi="宋体" w:eastAsia="宋体" w:cs="宋体"/>
          <w:color w:val="auto"/>
          <w:szCs w:val="21"/>
        </w:rPr>
        <w:t>1.除合同另有规定外，乙方提供的全部货物均应按国家或专业标准保护措施进行包装。该包装应适应于远距离运输、防潮、防震、防锈和防野蛮装卸，以确保货物安全无损运抵指定地点。由于包装不善所引起的货物损失均由乙方承担。</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szCs w:val="21"/>
        </w:rPr>
      </w:pPr>
      <w:r>
        <w:rPr>
          <w:rFonts w:hint="eastAsia" w:ascii="宋体" w:hAnsi="宋体" w:eastAsia="宋体" w:cs="宋体"/>
          <w:color w:val="auto"/>
          <w:szCs w:val="21"/>
        </w:rPr>
        <w:t>2.每一包装单元内应附详细的装箱单和质量合格凭证。</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szCs w:val="21"/>
        </w:rPr>
      </w:pPr>
      <w:r>
        <w:rPr>
          <w:rFonts w:hint="eastAsia" w:ascii="宋体" w:hAnsi="宋体" w:eastAsia="宋体" w:cs="宋体"/>
          <w:color w:val="auto"/>
          <w:szCs w:val="21"/>
        </w:rPr>
        <w:t>3.乙方保证货物不存在危及人身及财产安全的产品缺陷，否则应承担全部法律责任。</w:t>
      </w:r>
    </w:p>
    <w:p>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hint="eastAsia" w:ascii="宋体" w:hAnsi="宋体" w:eastAsia="宋体" w:cs="宋体"/>
          <w:b/>
          <w:color w:val="auto"/>
          <w:szCs w:val="21"/>
        </w:rPr>
      </w:pPr>
      <w:r>
        <w:rPr>
          <w:rFonts w:hint="eastAsia" w:ascii="宋体" w:hAnsi="宋体" w:eastAsia="宋体" w:cs="宋体"/>
          <w:b/>
          <w:color w:val="auto"/>
          <w:szCs w:val="21"/>
        </w:rPr>
        <w:t>第七条 交货和验收</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szCs w:val="21"/>
        </w:rPr>
      </w:pPr>
      <w:r>
        <w:rPr>
          <w:rFonts w:hint="eastAsia" w:ascii="宋体" w:hAnsi="宋体" w:eastAsia="宋体" w:cs="宋体"/>
          <w:color w:val="auto"/>
          <w:szCs w:val="21"/>
        </w:rPr>
        <w:t>1.乙方应当在合同签订后</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天内将货物安装调试完毕交付甲方正常使用，地点由甲方指定。竞争性谈判文件有约定的，从其约定。</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szCs w:val="21"/>
        </w:rPr>
      </w:pPr>
      <w:r>
        <w:rPr>
          <w:rFonts w:hint="eastAsia" w:ascii="宋体" w:hAnsi="宋体" w:eastAsia="宋体" w:cs="宋体"/>
          <w:color w:val="auto"/>
          <w:szCs w:val="21"/>
        </w:rPr>
        <w:t>2.乙方交付的货物应当完全符合本合同或者招谈判响应文件所规定的货物、数量和规格要求。乙方提供的货物不符合招谈判响应文件和合同规定的，甲方有权拒收货物，由此引起的风险，由乙方承担。</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szCs w:val="21"/>
        </w:rPr>
      </w:pPr>
      <w:r>
        <w:rPr>
          <w:rFonts w:hint="eastAsia" w:ascii="宋体" w:hAnsi="宋体" w:eastAsia="宋体" w:cs="宋体"/>
          <w:color w:val="auto"/>
          <w:szCs w:val="21"/>
        </w:rPr>
        <w:t>3.货物的到货验收包括：生产厂家名称、品牌、型号、规格、数量、外观质量、配置及货物包装是否完好。</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szCs w:val="21"/>
        </w:rPr>
      </w:pPr>
      <w:r>
        <w:rPr>
          <w:rFonts w:hint="eastAsia" w:ascii="宋体" w:hAnsi="宋体" w:eastAsia="宋体" w:cs="宋体"/>
          <w:color w:val="auto"/>
          <w:szCs w:val="21"/>
        </w:rPr>
        <w:t>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szCs w:val="21"/>
        </w:rPr>
      </w:pPr>
      <w:r>
        <w:rPr>
          <w:rFonts w:hint="eastAsia" w:ascii="宋体" w:hAnsi="宋体" w:eastAsia="宋体" w:cs="宋体"/>
          <w:color w:val="auto"/>
          <w:szCs w:val="21"/>
        </w:rPr>
        <w:t>5.货物和系统调试验收的标准：按行业通行标准、厂方出厂标准和乙方谈判响应文件的承诺（详见合同附件载明的标准，并不低于国家相关标准）。甲乙双方应在货物安装调试完毕后的</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个工作日内进行运行效果验收，在验收之前，乙方需提前提交相应的调试计划（包括调试程序、环境、内容和检验标准、调试时间安排等）供甲方确认，乙方还应对所有检验验收调试的结果、步骤、原始数据等作妥善记录。如甲方要求，乙方应将记录提供给甲方。调试检验出现全部或部分未达到本合同所约定的技术指标，甲方有权选择下列任一处理方式： </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szCs w:val="21"/>
        </w:rPr>
      </w:pPr>
      <w:r>
        <w:rPr>
          <w:rFonts w:hint="eastAsia" w:ascii="宋体" w:hAnsi="宋体" w:eastAsia="宋体" w:cs="宋体"/>
          <w:color w:val="auto"/>
          <w:szCs w:val="21"/>
        </w:rPr>
        <w:t>a.重新调试直至合格为止；</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szCs w:val="21"/>
        </w:rPr>
      </w:pPr>
      <w:r>
        <w:rPr>
          <w:rFonts w:hint="eastAsia" w:ascii="宋体" w:hAnsi="宋体" w:eastAsia="宋体" w:cs="宋体"/>
          <w:color w:val="auto"/>
          <w:szCs w:val="21"/>
        </w:rPr>
        <w:t>b.要求乙方对货物进行免费更换，然后重新调试直至合格为止。</w:t>
      </w:r>
    </w:p>
    <w:p>
      <w:pPr>
        <w:pStyle w:val="11"/>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甲方因乙方原因所产生的所有费用均由乙方负担</w:t>
      </w:r>
    </w:p>
    <w:p>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hint="eastAsia" w:ascii="宋体" w:hAnsi="宋体" w:eastAsia="宋体" w:cs="宋体"/>
          <w:b/>
          <w:color w:val="auto"/>
          <w:szCs w:val="21"/>
        </w:rPr>
      </w:pPr>
      <w:r>
        <w:rPr>
          <w:rFonts w:hint="eastAsia" w:ascii="宋体" w:hAnsi="宋体" w:eastAsia="宋体" w:cs="宋体"/>
          <w:b/>
          <w:color w:val="auto"/>
          <w:szCs w:val="21"/>
        </w:rPr>
        <w:t>第八条 履约保证金</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szCs w:val="21"/>
        </w:rPr>
      </w:pPr>
      <w:r>
        <w:rPr>
          <w:rFonts w:hint="eastAsia" w:ascii="宋体" w:hAnsi="宋体" w:eastAsia="宋体" w:cs="宋体"/>
          <w:color w:val="auto"/>
          <w:szCs w:val="21"/>
        </w:rPr>
        <w:t>1.乙方应按竞争性谈判文件的约定提供相应的履约保证金。</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szCs w:val="21"/>
        </w:rPr>
      </w:pPr>
      <w:r>
        <w:rPr>
          <w:rFonts w:hint="eastAsia" w:ascii="宋体" w:hAnsi="宋体" w:eastAsia="宋体" w:cs="宋体"/>
          <w:color w:val="auto"/>
          <w:szCs w:val="21"/>
        </w:rPr>
        <w:t>2.如乙方未能履行合同规定的义务，甲方有权从履约保证金直接扣取。</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szCs w:val="21"/>
        </w:rPr>
      </w:pPr>
      <w:r>
        <w:rPr>
          <w:rFonts w:hint="eastAsia" w:ascii="宋体" w:hAnsi="宋体" w:eastAsia="宋体" w:cs="宋体"/>
          <w:color w:val="auto"/>
          <w:szCs w:val="21"/>
        </w:rPr>
        <w:t>3.履约保证金待合同全部履行完毕后全额无息退回。</w:t>
      </w:r>
    </w:p>
    <w:p>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hint="eastAsia" w:ascii="宋体" w:hAnsi="宋体" w:eastAsia="宋体" w:cs="宋体"/>
          <w:b/>
          <w:color w:val="auto"/>
          <w:szCs w:val="21"/>
        </w:rPr>
      </w:pPr>
      <w:r>
        <w:rPr>
          <w:rFonts w:hint="eastAsia" w:ascii="宋体" w:hAnsi="宋体" w:eastAsia="宋体" w:cs="宋体"/>
          <w:b/>
          <w:color w:val="auto"/>
          <w:szCs w:val="21"/>
        </w:rPr>
        <w:t>第九条 合同款结算及支付</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szCs w:val="21"/>
        </w:rPr>
      </w:pPr>
      <w:r>
        <w:rPr>
          <w:rFonts w:hint="eastAsia" w:ascii="宋体" w:hAnsi="宋体" w:eastAsia="宋体" w:cs="宋体"/>
          <w:color w:val="auto"/>
          <w:szCs w:val="21"/>
        </w:rPr>
        <w:t>1.本合同项下所有款项均以人民币支付。</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szCs w:val="21"/>
        </w:rPr>
      </w:pPr>
      <w:r>
        <w:rPr>
          <w:rFonts w:hint="eastAsia" w:ascii="宋体" w:hAnsi="宋体" w:eastAsia="宋体" w:cs="宋体"/>
          <w:color w:val="auto"/>
          <w:szCs w:val="21"/>
        </w:rPr>
        <w:t>2.本合同项下的采购资金由甲方自行支付，乙方向甲方开具发票。</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szCs w:val="21"/>
        </w:rPr>
      </w:pPr>
      <w:r>
        <w:rPr>
          <w:rFonts w:hint="eastAsia" w:ascii="宋体" w:hAnsi="宋体" w:eastAsia="宋体" w:cs="宋体"/>
          <w:color w:val="auto"/>
          <w:szCs w:val="21"/>
        </w:rPr>
        <w:t>3.结算原则：按实结算。</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szCs w:val="21"/>
        </w:rPr>
      </w:pPr>
      <w:r>
        <w:rPr>
          <w:rFonts w:hint="eastAsia" w:ascii="宋体" w:hAnsi="宋体" w:eastAsia="宋体" w:cs="宋体"/>
          <w:color w:val="auto"/>
          <w:szCs w:val="21"/>
        </w:rPr>
        <w:t>4.如设计变更，增加的设备在清单中有的，按投标时的报价执行，若增加的设备在清单中没有的，结算时参照相似设备的谈判报价，双方协商解决。</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5.付款方式：</w:t>
      </w:r>
      <w:r>
        <w:rPr>
          <w:rFonts w:hint="eastAsia" w:ascii="宋体" w:hAnsi="宋体" w:eastAsia="宋体" w:cs="宋体"/>
          <w:color w:val="auto"/>
          <w:szCs w:val="21"/>
          <w:highlight w:val="none"/>
        </w:rPr>
        <w:t>双方签订合同并生效后，中标人交货并安装调试完毕，经</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验收合格后，一次性付清。</w:t>
      </w:r>
    </w:p>
    <w:p>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hint="eastAsia" w:ascii="宋体" w:hAnsi="宋体" w:eastAsia="宋体" w:cs="宋体"/>
          <w:b/>
          <w:color w:val="auto"/>
          <w:szCs w:val="21"/>
        </w:rPr>
      </w:pPr>
      <w:r>
        <w:rPr>
          <w:rFonts w:hint="eastAsia" w:ascii="宋体" w:hAnsi="宋体" w:eastAsia="宋体" w:cs="宋体"/>
          <w:b/>
          <w:color w:val="auto"/>
          <w:szCs w:val="21"/>
        </w:rPr>
        <w:t>第十条 伴随服务／售后服务</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szCs w:val="21"/>
        </w:rPr>
      </w:pPr>
      <w:r>
        <w:rPr>
          <w:rFonts w:hint="eastAsia" w:ascii="宋体" w:hAnsi="宋体" w:eastAsia="宋体" w:cs="宋体"/>
          <w:color w:val="auto"/>
          <w:szCs w:val="21"/>
        </w:rPr>
        <w:t>1.乙方应按照国家有关法律法规规章和“三包”规定以及合同所附的“服务承诺”提供服务。</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szCs w:val="21"/>
        </w:rPr>
      </w:pPr>
      <w:r>
        <w:rPr>
          <w:rFonts w:hint="eastAsia" w:ascii="宋体" w:hAnsi="宋体" w:eastAsia="宋体" w:cs="宋体"/>
          <w:color w:val="auto"/>
          <w:szCs w:val="21"/>
        </w:rPr>
        <w:t>2.除前款规定外，乙方还应提供下列服务：</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szCs w:val="21"/>
        </w:rPr>
      </w:pPr>
      <w:r>
        <w:rPr>
          <w:rFonts w:hint="eastAsia" w:ascii="宋体" w:hAnsi="宋体" w:eastAsia="宋体" w:cs="宋体"/>
          <w:color w:val="auto"/>
          <w:szCs w:val="21"/>
        </w:rPr>
        <w:t>（1）货物的现场安装、调试和/或启动监督；</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szCs w:val="21"/>
        </w:rPr>
      </w:pPr>
      <w:r>
        <w:rPr>
          <w:rFonts w:hint="eastAsia" w:ascii="宋体" w:hAnsi="宋体" w:eastAsia="宋体" w:cs="宋体"/>
          <w:color w:val="auto"/>
          <w:szCs w:val="21"/>
        </w:rPr>
        <w:t>（2）就货物的安装、启动、运行及维护等对甲方人员进行免费培训。</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szCs w:val="21"/>
        </w:rPr>
      </w:pPr>
      <w:r>
        <w:rPr>
          <w:rFonts w:hint="eastAsia" w:ascii="宋体" w:hAnsi="宋体" w:eastAsia="宋体" w:cs="宋体"/>
          <w:color w:val="auto"/>
          <w:szCs w:val="21"/>
        </w:rPr>
        <w:t>3.若竞争性谈判文件中不包含有关伴随服务或售后服务的承诺，双方作如下约定：</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szCs w:val="21"/>
        </w:rPr>
      </w:pPr>
      <w:r>
        <w:rPr>
          <w:rFonts w:hint="eastAsia" w:ascii="宋体" w:hAnsi="宋体" w:eastAsia="宋体" w:cs="宋体"/>
          <w:color w:val="auto"/>
          <w:szCs w:val="21"/>
        </w:rPr>
        <w:t>3.1 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szCs w:val="21"/>
        </w:rPr>
      </w:pPr>
      <w:r>
        <w:rPr>
          <w:rFonts w:hint="eastAsia" w:ascii="宋体" w:hAnsi="宋体" w:eastAsia="宋体" w:cs="宋体"/>
          <w:color w:val="auto"/>
          <w:szCs w:val="21"/>
        </w:rPr>
        <w:t>3.2 所购货物按乙方谈判承诺提供免费维护和质量保证，保修费用计入总价。</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szCs w:val="21"/>
        </w:rPr>
      </w:pPr>
      <w:r>
        <w:rPr>
          <w:rFonts w:hint="eastAsia" w:ascii="宋体" w:hAnsi="宋体" w:eastAsia="宋体" w:cs="宋体"/>
          <w:color w:val="auto"/>
          <w:szCs w:val="21"/>
        </w:rPr>
        <w:t>3.3 保修期内，乙方负责对其提供的货物整机进行维修和系统维护，不再收取任何费用，但不可抗力（如火灾、雷击等）造成的故障除外。</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szCs w:val="21"/>
        </w:rPr>
      </w:pPr>
      <w:r>
        <w:rPr>
          <w:rFonts w:hint="eastAsia" w:ascii="宋体" w:hAnsi="宋体" w:eastAsia="宋体" w:cs="宋体"/>
          <w:color w:val="auto"/>
          <w:szCs w:val="21"/>
        </w:rPr>
        <w:t>3.4 货物故障报修的响应时间按乙方谈判承诺执行。</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szCs w:val="21"/>
        </w:rPr>
      </w:pPr>
      <w:r>
        <w:rPr>
          <w:rFonts w:hint="eastAsia" w:ascii="宋体" w:hAnsi="宋体" w:eastAsia="宋体" w:cs="宋体"/>
          <w:color w:val="auto"/>
          <w:szCs w:val="21"/>
        </w:rPr>
        <w:t>3.5 若货物故障在检修</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工作小时后仍无法排除，乙方应在</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小时内免费提供不低于故障货物规格型号档次的备用货物供甲方使用，直至故障货物修复。</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szCs w:val="21"/>
        </w:rPr>
      </w:pPr>
      <w:r>
        <w:rPr>
          <w:rFonts w:hint="eastAsia" w:ascii="宋体" w:hAnsi="宋体" w:eastAsia="宋体" w:cs="宋体"/>
          <w:color w:val="auto"/>
          <w:szCs w:val="21"/>
        </w:rPr>
        <w:t>3.6 所有货物保修服务方式均为乙方上门保修，即由乙方派员到货物使用现场维修，由此产生的一切费用均由乙方承担。</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szCs w:val="21"/>
        </w:rPr>
      </w:pPr>
      <w:r>
        <w:rPr>
          <w:rFonts w:hint="eastAsia" w:ascii="宋体" w:hAnsi="宋体" w:eastAsia="宋体" w:cs="宋体"/>
          <w:color w:val="auto"/>
          <w:szCs w:val="21"/>
        </w:rPr>
        <w:t>3.7 保修期后的货物维护由双方协商再定。</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szCs w:val="21"/>
        </w:rPr>
      </w:pPr>
      <w:r>
        <w:rPr>
          <w:rFonts w:hint="eastAsia" w:ascii="宋体" w:hAnsi="宋体" w:eastAsia="宋体" w:cs="宋体"/>
          <w:color w:val="auto"/>
          <w:szCs w:val="21"/>
        </w:rPr>
        <w:t>4.本项目免费保修期为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年。自产品验收合格之日起计算。</w:t>
      </w:r>
    </w:p>
    <w:p>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hint="eastAsia" w:ascii="宋体" w:hAnsi="宋体" w:eastAsia="宋体" w:cs="宋体"/>
          <w:b/>
          <w:color w:val="auto"/>
          <w:szCs w:val="21"/>
        </w:rPr>
      </w:pPr>
      <w:r>
        <w:rPr>
          <w:rFonts w:hint="eastAsia" w:ascii="宋体" w:hAnsi="宋体" w:eastAsia="宋体" w:cs="宋体"/>
          <w:b/>
          <w:color w:val="auto"/>
          <w:szCs w:val="21"/>
        </w:rPr>
        <w:t>第十一条 违约责任</w:t>
      </w:r>
    </w:p>
    <w:p>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1.如乙方不能按时交付货物完成安装调试的，每逾期1天，乙方向甲方偿付合同总额5‰的违约金；乙方逾期交付货物或完成安装调试超过10天（含10天），甲方有权解除合同，乙方交纳的全部履约保证金不予退还，同时有权要求乙方按照合同总价5%的标准支付违约金，解除合同的通知自发出之日生效。</w:t>
      </w:r>
    </w:p>
    <w:p>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2.甲方未按合同规定的期限向乙方支付货款的，每逾期1天甲方向乙方偿付欠款总额的5‰滞纳金，但累计滞纳金总额不超过欠款总额的5% 。</w:t>
      </w:r>
    </w:p>
    <w:p>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3.乙方所交付的货物品种、型号、规格不符合合同规定的，甲方有权拒收，同时有权解除合同，全部履约保证金不予退还，解除合同的通知自发出之日生效。</w:t>
      </w:r>
    </w:p>
    <w:p>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4.在乙方承诺的或国家规定的质量保证期内（取两者中最长的期限），如经乙方两次维修或更换，货物仍不能达到合同约定的质量标准、运行效果的，甲方有权要求退货，乙方应退回全部货款，同时甲方有权按照本条第1点不予退还履约保证金和向乙方主张违约金，若仍不足以弥补甲方损失，则乙方还须赔偿甲方因此遭受的所有损失。</w:t>
      </w:r>
    </w:p>
    <w:p>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5.乙方未按本合同规定向甲方交付履约保证金的，甲方有权拒绝签订本合同，同时乙方应按应交付履约保证金的100%向甲方支付违约金。</w:t>
      </w:r>
    </w:p>
    <w:p>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6.乙方未按本合同的规定和“服务承诺”提供伴随服务/售后服务的，甲方有权提前解除本合同，同时乙方应按合同总价款的5 %向甲方承担违约责任。</w:t>
      </w:r>
    </w:p>
    <w:p>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7.乙方在承担上述一项或多项违约责任后，仍应继续履行合同规定的义务（甲方解除合同的除外）。甲方未能及时追究乙方的任何一项违约责任并不表明甲方放弃追究乙方该项或其他违约责任。</w:t>
      </w:r>
    </w:p>
    <w:p>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8.乙方投标属虚假承诺，或经权威部门监测提供的货物不能满足招标文件要求，或是由于乙方的过错造成合同无法继续履行的，除乙方已交履约保证金不予退还外，还应向甲方支付不少于合同总价30%违约金，若该违约金不足以弥补甲方损失，则应当赔偿甲方所有损失。</w:t>
      </w:r>
    </w:p>
    <w:p>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9.其他未尽事宜，以《合同法》等有关法律法规规定为准，无相关规定的，双方协商解决。</w:t>
      </w:r>
    </w:p>
    <w:p>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hint="eastAsia" w:ascii="宋体" w:hAnsi="宋体" w:eastAsia="宋体" w:cs="宋体"/>
          <w:b/>
          <w:color w:val="auto"/>
          <w:szCs w:val="21"/>
        </w:rPr>
      </w:pPr>
      <w:r>
        <w:rPr>
          <w:rFonts w:hint="eastAsia" w:ascii="宋体" w:hAnsi="宋体" w:eastAsia="宋体" w:cs="宋体"/>
          <w:b/>
          <w:color w:val="auto"/>
          <w:szCs w:val="21"/>
        </w:rPr>
        <w:t>第十二条 合同的变更和终止</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szCs w:val="21"/>
        </w:rPr>
      </w:pPr>
      <w:r>
        <w:rPr>
          <w:rFonts w:hint="eastAsia" w:ascii="宋体" w:hAnsi="宋体" w:eastAsia="宋体" w:cs="宋体"/>
          <w:color w:val="auto"/>
          <w:szCs w:val="21"/>
        </w:rPr>
        <w:t>1.本合同一经签订，甲乙双方不得擅自变更、中止或终止合同。</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szCs w:val="21"/>
        </w:rPr>
      </w:pPr>
      <w:r>
        <w:rPr>
          <w:rFonts w:hint="eastAsia" w:ascii="宋体" w:hAnsi="宋体" w:eastAsia="宋体" w:cs="宋体"/>
          <w:color w:val="auto"/>
          <w:szCs w:val="21"/>
        </w:rPr>
        <w:t>2.除发生法律规定的不能预见、不能避免并不能克服的客观情况外，甲乙双方不得放弃或拒绝履行合同。乙方放弃或拒绝履行合同，保证金不予退还。</w:t>
      </w:r>
    </w:p>
    <w:p>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hint="eastAsia" w:ascii="宋体" w:hAnsi="宋体" w:eastAsia="宋体" w:cs="宋体"/>
          <w:b/>
          <w:color w:val="auto"/>
          <w:szCs w:val="21"/>
        </w:rPr>
      </w:pPr>
      <w:r>
        <w:rPr>
          <w:rFonts w:hint="eastAsia" w:ascii="宋体" w:hAnsi="宋体" w:eastAsia="宋体" w:cs="宋体"/>
          <w:b/>
          <w:color w:val="auto"/>
          <w:szCs w:val="21"/>
        </w:rPr>
        <w:t>第十三条 合同的转让</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szCs w:val="21"/>
        </w:rPr>
      </w:pPr>
      <w:r>
        <w:rPr>
          <w:rFonts w:hint="eastAsia" w:ascii="宋体" w:hAnsi="宋体" w:eastAsia="宋体" w:cs="宋体"/>
          <w:color w:val="auto"/>
          <w:szCs w:val="21"/>
        </w:rPr>
        <w:t>乙方不得擅自部分或全部转让其应履行的合同义务。</w:t>
      </w:r>
    </w:p>
    <w:p>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hint="eastAsia" w:ascii="宋体" w:hAnsi="宋体" w:eastAsia="宋体" w:cs="宋体"/>
          <w:b/>
          <w:color w:val="auto"/>
          <w:szCs w:val="21"/>
        </w:rPr>
      </w:pPr>
      <w:r>
        <w:rPr>
          <w:rFonts w:hint="eastAsia" w:ascii="宋体" w:hAnsi="宋体" w:eastAsia="宋体" w:cs="宋体"/>
          <w:b/>
          <w:color w:val="auto"/>
          <w:szCs w:val="21"/>
        </w:rPr>
        <w:t>第十四条 不可抗力</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szCs w:val="21"/>
        </w:rPr>
      </w:pPr>
      <w:r>
        <w:rPr>
          <w:rFonts w:hint="eastAsia" w:ascii="宋体" w:hAnsi="宋体" w:eastAsia="宋体" w:cs="宋体"/>
          <w:color w:val="auto"/>
          <w:szCs w:val="21"/>
        </w:rPr>
        <w:t>甲、乙方中任何一方，因不可抗力不能按时或完全履行合同的，应及时通知对方，并在5日内提供相应证明。未履行完合同部分是否继续履行、如何履行等问题，可由双方初步协商，并向主管部门报告。确定为不可抗力原因造成的损失，免予承担责任。</w:t>
      </w:r>
    </w:p>
    <w:p>
      <w:pPr>
        <w:keepNext w:val="0"/>
        <w:keepLines w:val="0"/>
        <w:pageBreakBefore w:val="0"/>
        <w:kinsoku/>
        <w:wordWrap/>
        <w:overflowPunct/>
        <w:topLinePunct w:val="0"/>
        <w:autoSpaceDE/>
        <w:autoSpaceDN/>
        <w:bidi w:val="0"/>
        <w:adjustRightInd w:val="0"/>
        <w:snapToGrid w:val="0"/>
        <w:spacing w:line="360" w:lineRule="exact"/>
        <w:ind w:firstLine="424" w:firstLineChars="201"/>
        <w:textAlignment w:val="auto"/>
        <w:rPr>
          <w:rFonts w:hint="eastAsia" w:ascii="宋体" w:hAnsi="宋体" w:eastAsia="宋体" w:cs="宋体"/>
          <w:b/>
          <w:color w:val="auto"/>
          <w:szCs w:val="21"/>
        </w:rPr>
      </w:pPr>
      <w:r>
        <w:rPr>
          <w:rFonts w:hint="eastAsia" w:ascii="宋体" w:hAnsi="宋体" w:eastAsia="宋体" w:cs="宋体"/>
          <w:b/>
          <w:color w:val="auto"/>
          <w:szCs w:val="21"/>
        </w:rPr>
        <w:t>第十五条 质量问题或缺陷的索赔</w:t>
      </w:r>
    </w:p>
    <w:p>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乙方交付货物后，甲方发现货物的质量与合同内容不符或证实货物存在缺陷的（包括潜在缺陷），乙方应在收到甲方索赔通知后3日内到甲方处，商量解决货物质量或缺陷问题。若乙方未在上述约定时间内到场解决，因此产生的损失以及扩大损失全部由乙方承担，甲方有权选择解除合同，要求退还全部货物，返还所有货款，不予退还全部履约保证金，并有权按照合同总额5%标准向乙方主张违约金；或者有权安排第三方解决货物质量或缺陷问题，因此产生的所有费用全部由乙方承担，甲方可以在应付乙方的货款中直接扣除，同时甲方不予退还全部履约保证金，并有权按照合同总额5%标准向乙方主张违约金。若上述违约金不足以弥补甲方直接损失和间接损失，则乙方应赔偿甲方所有损失。</w:t>
      </w:r>
    </w:p>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Cs w:val="21"/>
        </w:rPr>
      </w:pPr>
      <w:r>
        <w:rPr>
          <w:rFonts w:hint="eastAsia" w:ascii="宋体" w:hAnsi="宋体" w:eastAsia="宋体" w:cs="宋体"/>
          <w:color w:val="auto"/>
          <w:szCs w:val="21"/>
        </w:rPr>
        <w:t xml:space="preserve">    甲方因主张上述权利而支出的所有合理费用，包括但不限于律师费、诉讼费、鉴定费、差旅费、保函费等，均由乙方承担。</w:t>
      </w:r>
    </w:p>
    <w:p>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hint="eastAsia" w:ascii="宋体" w:hAnsi="宋体" w:eastAsia="宋体" w:cs="宋体"/>
          <w:b/>
          <w:color w:val="auto"/>
          <w:szCs w:val="21"/>
        </w:rPr>
      </w:pPr>
      <w:r>
        <w:rPr>
          <w:rFonts w:hint="eastAsia" w:ascii="宋体" w:hAnsi="宋体" w:eastAsia="宋体" w:cs="宋体"/>
          <w:b/>
          <w:color w:val="auto"/>
          <w:szCs w:val="21"/>
        </w:rPr>
        <w:t>第十六条 争议的解决</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szCs w:val="21"/>
        </w:rPr>
      </w:pPr>
      <w:r>
        <w:rPr>
          <w:rFonts w:hint="eastAsia" w:ascii="宋体" w:hAnsi="宋体" w:eastAsia="宋体" w:cs="宋体"/>
          <w:color w:val="auto"/>
          <w:szCs w:val="21"/>
        </w:rPr>
        <w:t>1.因货物的质量问题发生争议的，应当邀请国家认可的质量检测机构对货物质量进行鉴定。货物符合标准的，鉴定费由甲方承担；货物不符合质量标准的，鉴定费由乙方承担。</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szCs w:val="21"/>
        </w:rPr>
      </w:pPr>
      <w:r>
        <w:rPr>
          <w:rFonts w:hint="eastAsia" w:ascii="宋体" w:hAnsi="宋体" w:eastAsia="宋体" w:cs="宋体"/>
          <w:color w:val="auto"/>
          <w:szCs w:val="21"/>
        </w:rPr>
        <w:t>2.因履行本合同引起的或与本合同有关的争议，甲、乙双方应首先通过友好协商解决，如果协商不能解决争议，则采取以下第（ ）种方式解决争议：</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szCs w:val="21"/>
        </w:rPr>
      </w:pPr>
      <w:r>
        <w:rPr>
          <w:rFonts w:hint="eastAsia" w:ascii="宋体" w:hAnsi="宋体" w:eastAsia="宋体" w:cs="宋体"/>
          <w:color w:val="auto"/>
          <w:szCs w:val="21"/>
        </w:rPr>
        <w:t>（1）向甲方所在地人民法院提起诉讼；</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szCs w:val="21"/>
        </w:rPr>
      </w:pPr>
      <w:r>
        <w:rPr>
          <w:rFonts w:hint="eastAsia" w:ascii="宋体" w:hAnsi="宋体" w:eastAsia="宋体" w:cs="宋体"/>
          <w:color w:val="auto"/>
          <w:szCs w:val="21"/>
        </w:rPr>
        <w:t>（2）向甲方所在地仲裁委员会按其仲裁规则申请仲裁。</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szCs w:val="21"/>
        </w:rPr>
      </w:pPr>
      <w:r>
        <w:rPr>
          <w:rFonts w:hint="eastAsia" w:ascii="宋体" w:hAnsi="宋体" w:eastAsia="宋体" w:cs="宋体"/>
          <w:color w:val="auto"/>
          <w:szCs w:val="21"/>
        </w:rPr>
        <w:t>如没有约定，默认采取第2种方式解决争议。</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szCs w:val="21"/>
        </w:rPr>
      </w:pPr>
      <w:r>
        <w:rPr>
          <w:rFonts w:hint="eastAsia" w:ascii="宋体" w:hAnsi="宋体" w:eastAsia="宋体" w:cs="宋体"/>
          <w:color w:val="auto"/>
          <w:szCs w:val="21"/>
        </w:rPr>
        <w:t>3.在法院审理和仲裁期间，除有争议部分外，本合同其他部分应继续履行。</w:t>
      </w:r>
    </w:p>
    <w:p>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hint="eastAsia" w:ascii="宋体" w:hAnsi="宋体" w:eastAsia="宋体" w:cs="宋体"/>
          <w:b/>
          <w:color w:val="auto"/>
          <w:szCs w:val="21"/>
        </w:rPr>
      </w:pPr>
      <w:r>
        <w:rPr>
          <w:rFonts w:hint="eastAsia" w:ascii="宋体" w:hAnsi="宋体" w:eastAsia="宋体" w:cs="宋体"/>
          <w:b/>
          <w:color w:val="auto"/>
          <w:szCs w:val="21"/>
        </w:rPr>
        <w:t xml:space="preserve">第十七条 诚实信用 </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szCs w:val="21"/>
        </w:rPr>
      </w:pPr>
      <w:r>
        <w:rPr>
          <w:rFonts w:hint="eastAsia" w:ascii="宋体" w:hAnsi="宋体" w:eastAsia="宋体" w:cs="宋体"/>
          <w:color w:val="auto"/>
          <w:szCs w:val="21"/>
        </w:rPr>
        <w:t>乙方应诚实信用，严格按照竞争性谈判文件要求和投标承诺履行合同，不向甲方进行商业贿赂或者提供不正当利益。</w:t>
      </w:r>
    </w:p>
    <w:p>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hint="eastAsia" w:ascii="宋体" w:hAnsi="宋体" w:eastAsia="宋体" w:cs="宋体"/>
          <w:b/>
          <w:color w:val="auto"/>
          <w:szCs w:val="21"/>
        </w:rPr>
      </w:pPr>
      <w:r>
        <w:rPr>
          <w:rFonts w:hint="eastAsia" w:ascii="宋体" w:hAnsi="宋体" w:eastAsia="宋体" w:cs="宋体"/>
          <w:b/>
          <w:color w:val="auto"/>
          <w:szCs w:val="21"/>
        </w:rPr>
        <w:t>第十八条 合同生效及其他</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szCs w:val="21"/>
        </w:rPr>
      </w:pPr>
      <w:r>
        <w:rPr>
          <w:rFonts w:hint="eastAsia" w:ascii="宋体" w:hAnsi="宋体" w:eastAsia="宋体" w:cs="宋体"/>
          <w:color w:val="auto"/>
          <w:szCs w:val="21"/>
        </w:rPr>
        <w:t>1.本合同自经甲乙双方授权代表签订并加盖公章后，自签订之日起生效。见证方仅对甲乙双方签订合同的事实进行见证，不代表任何承诺或保证，该合同的履行等相关情况均与见证方无任何关系。</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szCs w:val="21"/>
        </w:rPr>
      </w:pPr>
      <w:r>
        <w:rPr>
          <w:rFonts w:hint="eastAsia" w:ascii="宋体" w:hAnsi="宋体" w:eastAsia="宋体" w:cs="宋体"/>
          <w:color w:val="auto"/>
          <w:szCs w:val="21"/>
        </w:rPr>
        <w:t>2.本合同一式伍份，甲乙双方各执贰份，代理机构执壹份存档。</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szCs w:val="21"/>
        </w:rPr>
      </w:pPr>
      <w:r>
        <w:rPr>
          <w:rFonts w:hint="eastAsia" w:ascii="宋体" w:hAnsi="宋体" w:eastAsia="宋体" w:cs="宋体"/>
          <w:color w:val="auto"/>
          <w:szCs w:val="21"/>
        </w:rPr>
        <w:t>3.本合同应按照中华人民共和国的现行法律进行解释。</w:t>
      </w:r>
    </w:p>
    <w:p>
      <w:pPr>
        <w:keepNext w:val="0"/>
        <w:keepLines w:val="0"/>
        <w:pageBreakBefore w:val="0"/>
        <w:widowControl w:val="0"/>
        <w:kinsoku/>
        <w:wordWrap/>
        <w:overflowPunct/>
        <w:topLinePunct w:val="0"/>
        <w:autoSpaceDE/>
        <w:autoSpaceDN/>
        <w:bidi w:val="0"/>
        <w:adjustRightInd w:val="0"/>
        <w:snapToGrid w:val="0"/>
        <w:spacing w:line="400" w:lineRule="exact"/>
        <w:ind w:firstLine="420"/>
        <w:textAlignment w:val="auto"/>
        <w:rPr>
          <w:rFonts w:hint="eastAsia" w:ascii="宋体" w:hAnsi="宋体" w:eastAsia="宋体" w:cs="宋体"/>
          <w:color w:val="auto"/>
          <w:szCs w:val="21"/>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Cs w:val="21"/>
        </w:rPr>
      </w:pP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bCs/>
          <w:color w:val="auto"/>
          <w:szCs w:val="21"/>
        </w:rPr>
      </w:pP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Cs w:val="21"/>
        </w:rPr>
      </w:pPr>
      <w:r>
        <w:rPr>
          <w:rFonts w:hint="eastAsia" w:ascii="宋体" w:hAnsi="宋体" w:eastAsia="宋体" w:cs="宋体"/>
          <w:b/>
          <w:bCs/>
          <w:color w:val="auto"/>
          <w:szCs w:val="21"/>
        </w:rPr>
        <w:t>甲    方</w:t>
      </w:r>
      <w:r>
        <w:rPr>
          <w:rFonts w:hint="eastAsia" w:ascii="宋体" w:hAnsi="宋体" w:eastAsia="宋体" w:cs="宋体"/>
          <w:color w:val="auto"/>
          <w:szCs w:val="21"/>
        </w:rPr>
        <w:t xml:space="preserve">：                               </w:t>
      </w:r>
      <w:r>
        <w:rPr>
          <w:rFonts w:hint="eastAsia" w:ascii="宋体" w:hAnsi="宋体" w:eastAsia="宋体" w:cs="宋体"/>
          <w:b/>
          <w:bCs/>
          <w:color w:val="auto"/>
          <w:szCs w:val="21"/>
        </w:rPr>
        <w:t>乙    方</w:t>
      </w:r>
      <w:r>
        <w:rPr>
          <w:rFonts w:hint="eastAsia" w:ascii="宋体" w:hAnsi="宋体" w:eastAsia="宋体" w:cs="宋体"/>
          <w:color w:val="auto"/>
          <w:szCs w:val="21"/>
        </w:rPr>
        <w:t>：</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Cs w:val="21"/>
          <w:u w:val="single"/>
        </w:rPr>
      </w:pPr>
      <w:r>
        <w:rPr>
          <w:rFonts w:hint="eastAsia" w:ascii="宋体" w:hAnsi="宋体" w:eastAsia="宋体" w:cs="宋体"/>
          <w:color w:val="auto"/>
          <w:szCs w:val="21"/>
        </w:rPr>
        <w:t>单位名称（章）：                          单位名称（章）：</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Cs w:val="21"/>
          <w:u w:val="single"/>
        </w:rPr>
      </w:pPr>
      <w:r>
        <w:rPr>
          <w:rFonts w:hint="eastAsia" w:ascii="宋体" w:hAnsi="宋体" w:eastAsia="宋体" w:cs="宋体"/>
          <w:color w:val="auto"/>
          <w:szCs w:val="21"/>
        </w:rPr>
        <w:t>单位地址：                               单位地址：</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Cs w:val="21"/>
        </w:rPr>
      </w:pPr>
      <w:r>
        <w:rPr>
          <w:rFonts w:hint="eastAsia" w:ascii="宋体" w:hAnsi="宋体" w:eastAsia="宋体" w:cs="宋体"/>
          <w:color w:val="auto"/>
          <w:szCs w:val="21"/>
        </w:rPr>
        <w:t xml:space="preserve">法定代表人：       委托代理人：          法定代表人：     委托代理人：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Cs w:val="21"/>
        </w:rPr>
      </w:pPr>
      <w:r>
        <w:rPr>
          <w:rFonts w:hint="eastAsia" w:ascii="宋体" w:hAnsi="宋体" w:eastAsia="宋体" w:cs="宋体"/>
          <w:color w:val="auto"/>
          <w:szCs w:val="21"/>
        </w:rPr>
        <w:t>电话：                                   电话：            传真：</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Cs w:val="21"/>
        </w:rPr>
      </w:pPr>
      <w:r>
        <w:rPr>
          <w:rFonts w:hint="eastAsia" w:ascii="宋体" w:hAnsi="宋体" w:eastAsia="宋体" w:cs="宋体"/>
          <w:color w:val="auto"/>
          <w:szCs w:val="21"/>
        </w:rPr>
        <w:t xml:space="preserve">传真：                                   开户银行：        账号：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
          <w:bCs/>
          <w:color w:val="auto"/>
          <w:szCs w:val="21"/>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Cs w:val="21"/>
        </w:rPr>
      </w:pPr>
      <w:r>
        <w:rPr>
          <w:rFonts w:hint="eastAsia" w:ascii="宋体" w:hAnsi="宋体" w:eastAsia="宋体" w:cs="宋体"/>
          <w:b/>
          <w:bCs/>
          <w:color w:val="auto"/>
          <w:szCs w:val="21"/>
        </w:rPr>
        <w:t>见证方</w:t>
      </w:r>
      <w:r>
        <w:rPr>
          <w:rFonts w:hint="eastAsia" w:ascii="宋体" w:hAnsi="宋体" w:eastAsia="宋体" w:cs="宋体"/>
          <w:color w:val="auto"/>
          <w:szCs w:val="21"/>
        </w:rPr>
        <w:t>：</w:t>
      </w:r>
    </w:p>
    <w:p>
      <w:pPr>
        <w:keepNext w:val="0"/>
        <w:keepLines w:val="0"/>
        <w:pageBreakBefore w:val="0"/>
        <w:widowControl w:val="0"/>
        <w:tabs>
          <w:tab w:val="left" w:pos="3780"/>
        </w:tabs>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Cs w:val="21"/>
        </w:rPr>
      </w:pPr>
      <w:r>
        <w:rPr>
          <w:rFonts w:hint="eastAsia" w:ascii="宋体" w:hAnsi="宋体" w:eastAsia="宋体" w:cs="宋体"/>
          <w:color w:val="auto"/>
          <w:szCs w:val="21"/>
        </w:rPr>
        <w:t>代理机构（章）：</w:t>
      </w:r>
      <w:r>
        <w:rPr>
          <w:rFonts w:hint="eastAsia" w:ascii="宋体" w:hAnsi="宋体" w:eastAsia="宋体" w:cs="宋体"/>
          <w:b/>
          <w:bCs/>
          <w:color w:val="auto"/>
          <w:szCs w:val="21"/>
          <w:u w:val="single"/>
        </w:rPr>
        <w:t>常州市城投建设工程招标有限公司</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Cs w:val="21"/>
        </w:rPr>
      </w:pPr>
      <w:r>
        <w:rPr>
          <w:rFonts w:hint="eastAsia" w:ascii="宋体" w:hAnsi="宋体" w:eastAsia="宋体" w:cs="宋体"/>
          <w:color w:val="auto"/>
          <w:szCs w:val="21"/>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Cs w:val="21"/>
        </w:rPr>
      </w:pPr>
      <w:r>
        <w:rPr>
          <w:rFonts w:hint="eastAsia" w:ascii="宋体" w:hAnsi="宋体" w:eastAsia="宋体" w:cs="宋体"/>
          <w:color w:val="auto"/>
          <w:szCs w:val="21"/>
        </w:rPr>
        <w:t>经办人：                               电  话：</w:t>
      </w:r>
    </w:p>
    <w:p>
      <w:pPr>
        <w:jc w:val="center"/>
        <w:rPr>
          <w:rFonts w:hint="eastAsia" w:ascii="宋体" w:hAnsi="宋体" w:eastAsia="宋体" w:cs="宋体"/>
          <w:b/>
          <w:color w:val="auto"/>
          <w:sz w:val="30"/>
          <w:szCs w:val="30"/>
        </w:rPr>
      </w:pPr>
    </w:p>
    <w:p>
      <w:pPr>
        <w:pStyle w:val="6"/>
        <w:spacing w:line="360" w:lineRule="auto"/>
        <w:rPr>
          <w:rFonts w:hint="eastAsia" w:ascii="宋体" w:hAnsi="宋体" w:eastAsia="宋体" w:cs="宋体"/>
          <w:b/>
          <w:color w:val="auto"/>
          <w:sz w:val="21"/>
          <w:szCs w:val="21"/>
        </w:rPr>
      </w:pPr>
    </w:p>
    <w:p>
      <w:pPr>
        <w:jc w:val="center"/>
        <w:rPr>
          <w:rFonts w:hint="eastAsia" w:ascii="宋体" w:hAnsi="宋体" w:eastAsia="宋体" w:cs="宋体"/>
          <w:b/>
          <w:color w:val="auto"/>
          <w:sz w:val="30"/>
          <w:szCs w:val="30"/>
        </w:rPr>
      </w:pPr>
    </w:p>
    <w:p>
      <w:pPr>
        <w:jc w:val="center"/>
        <w:rPr>
          <w:rFonts w:hint="eastAsia" w:ascii="宋体" w:hAnsi="宋体" w:eastAsia="宋体" w:cs="宋体"/>
          <w:b/>
          <w:color w:val="auto"/>
          <w:sz w:val="30"/>
          <w:szCs w:val="30"/>
        </w:rPr>
      </w:pPr>
    </w:p>
    <w:p>
      <w:pPr>
        <w:jc w:val="center"/>
        <w:rPr>
          <w:rFonts w:hint="eastAsia" w:ascii="宋体" w:hAnsi="宋体" w:eastAsia="宋体" w:cs="宋体"/>
          <w:b/>
          <w:color w:val="auto"/>
          <w:sz w:val="30"/>
          <w:szCs w:val="30"/>
        </w:rPr>
      </w:pPr>
    </w:p>
    <w:p>
      <w:pPr>
        <w:jc w:val="center"/>
        <w:rPr>
          <w:rFonts w:hint="eastAsia" w:ascii="宋体" w:hAnsi="宋体" w:eastAsia="宋体" w:cs="宋体"/>
          <w:b/>
          <w:color w:val="auto"/>
          <w:sz w:val="30"/>
          <w:szCs w:val="30"/>
        </w:rPr>
      </w:pPr>
      <w:r>
        <w:rPr>
          <w:rFonts w:hint="eastAsia" w:ascii="宋体" w:hAnsi="宋体" w:eastAsia="宋体" w:cs="宋体"/>
          <w:b/>
          <w:color w:val="auto"/>
          <w:sz w:val="30"/>
          <w:szCs w:val="30"/>
        </w:rPr>
        <w:br w:type="page"/>
      </w:r>
    </w:p>
    <w:p>
      <w:pPr>
        <w:pStyle w:val="3"/>
        <w:rPr>
          <w:rFonts w:hint="eastAsia" w:ascii="宋体" w:hAnsi="宋体" w:eastAsia="宋体" w:cs="宋体"/>
          <w:color w:val="auto"/>
          <w:szCs w:val="21"/>
        </w:rPr>
      </w:pPr>
      <w:bookmarkStart w:id="4" w:name="_Toc17536928"/>
      <w:r>
        <w:rPr>
          <w:rFonts w:hint="eastAsia" w:ascii="宋体" w:hAnsi="宋体" w:eastAsia="宋体" w:cs="宋体"/>
          <w:color w:val="auto"/>
        </w:rPr>
        <w:t>第四章  评审细则</w:t>
      </w:r>
      <w:bookmarkEnd w:id="4"/>
    </w:p>
    <w:p>
      <w:pPr>
        <w:keepNext w:val="0"/>
        <w:keepLines w:val="0"/>
        <w:pageBreakBefore w:val="0"/>
        <w:widowControl w:val="0"/>
        <w:kinsoku/>
        <w:wordWrap/>
        <w:overflowPunct/>
        <w:topLinePunct w:val="0"/>
        <w:autoSpaceDE/>
        <w:autoSpaceDN/>
        <w:bidi w:val="0"/>
        <w:adjustRightInd w:val="0"/>
        <w:snapToGrid w:val="0"/>
        <w:spacing w:line="360" w:lineRule="exact"/>
        <w:ind w:firstLine="411" w:firstLineChars="196"/>
        <w:textAlignment w:val="auto"/>
        <w:rPr>
          <w:rFonts w:hint="eastAsia" w:ascii="宋体" w:hAnsi="宋体" w:eastAsia="宋体" w:cs="宋体"/>
          <w:color w:val="auto"/>
          <w:szCs w:val="21"/>
        </w:rPr>
      </w:pPr>
      <w:r>
        <w:rPr>
          <w:rFonts w:hint="eastAsia" w:ascii="宋体" w:hAnsi="宋体" w:eastAsia="宋体" w:cs="宋体"/>
          <w:color w:val="auto"/>
          <w:szCs w:val="21"/>
        </w:rPr>
        <w:t>一、本项目采用最低评标价法，谈判响应文件满足竞争性谈判文件全部实质性要求且最终报价最低的供应商为成交供应商。</w:t>
      </w:r>
    </w:p>
    <w:p>
      <w:pPr>
        <w:keepNext w:val="0"/>
        <w:keepLines w:val="0"/>
        <w:pageBreakBefore w:val="0"/>
        <w:widowControl w:val="0"/>
        <w:kinsoku/>
        <w:wordWrap/>
        <w:overflowPunct/>
        <w:topLinePunct w:val="0"/>
        <w:autoSpaceDE/>
        <w:autoSpaceDN/>
        <w:bidi w:val="0"/>
        <w:adjustRightInd w:val="0"/>
        <w:snapToGrid w:val="0"/>
        <w:spacing w:line="360" w:lineRule="exact"/>
        <w:ind w:firstLine="390" w:firstLineChars="196"/>
        <w:textAlignment w:val="auto"/>
        <w:rPr>
          <w:rFonts w:hint="eastAsia" w:ascii="宋体" w:hAnsi="宋体" w:eastAsia="宋体" w:cs="宋体"/>
          <w:color w:val="auto"/>
        </w:rPr>
      </w:pPr>
      <w:r>
        <w:rPr>
          <w:rFonts w:hint="eastAsia" w:ascii="宋体" w:hAnsi="宋体" w:eastAsia="宋体" w:cs="宋体"/>
          <w:b/>
          <w:color w:val="auto"/>
          <w:spacing w:val="-6"/>
          <w:szCs w:val="21"/>
        </w:rPr>
        <w:t>二、</w:t>
      </w:r>
      <w:r>
        <w:rPr>
          <w:rFonts w:hint="eastAsia" w:ascii="宋体" w:hAnsi="宋体" w:eastAsia="宋体" w:cs="宋体"/>
          <w:color w:val="auto"/>
        </w:rPr>
        <w:t>报价在采购预算价格以下的，为有效报价。超出此范围的报价为无效报价。无效报价的响应文件不进行评审，也不得成交。</w:t>
      </w:r>
    </w:p>
    <w:p>
      <w:pPr>
        <w:keepNext w:val="0"/>
        <w:keepLines w:val="0"/>
        <w:pageBreakBefore w:val="0"/>
        <w:widowControl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rPr>
      </w:pPr>
      <w:r>
        <w:rPr>
          <w:rFonts w:hint="eastAsia" w:ascii="宋体" w:hAnsi="宋体" w:eastAsia="宋体" w:cs="宋体"/>
          <w:color w:val="auto"/>
        </w:rPr>
        <w:t>五、报价相同的，由采购人抽签确定成交供应商。</w:t>
      </w:r>
    </w:p>
    <w:p>
      <w:pPr>
        <w:jc w:val="center"/>
        <w:rPr>
          <w:rFonts w:hint="eastAsia" w:ascii="宋体" w:hAnsi="宋体" w:eastAsia="宋体" w:cs="宋体"/>
          <w:b/>
          <w:color w:val="auto"/>
          <w:sz w:val="30"/>
          <w:szCs w:val="30"/>
        </w:rPr>
      </w:pPr>
    </w:p>
    <w:p>
      <w:pPr>
        <w:jc w:val="center"/>
        <w:rPr>
          <w:rFonts w:hint="eastAsia" w:ascii="宋体" w:hAnsi="宋体" w:eastAsia="宋体" w:cs="宋体"/>
          <w:b/>
          <w:color w:val="auto"/>
          <w:sz w:val="30"/>
          <w:szCs w:val="30"/>
        </w:rPr>
      </w:pPr>
    </w:p>
    <w:p>
      <w:pPr>
        <w:jc w:val="center"/>
        <w:rPr>
          <w:rFonts w:hint="eastAsia" w:ascii="宋体" w:hAnsi="宋体" w:eastAsia="宋体" w:cs="宋体"/>
          <w:b/>
          <w:color w:val="auto"/>
          <w:sz w:val="30"/>
          <w:szCs w:val="30"/>
        </w:rPr>
      </w:pPr>
    </w:p>
    <w:p>
      <w:pPr>
        <w:jc w:val="center"/>
        <w:rPr>
          <w:rFonts w:hint="eastAsia" w:ascii="宋体" w:hAnsi="宋体" w:eastAsia="宋体" w:cs="宋体"/>
          <w:b/>
          <w:color w:val="auto"/>
          <w:sz w:val="30"/>
          <w:szCs w:val="30"/>
        </w:rPr>
      </w:pPr>
    </w:p>
    <w:p>
      <w:pPr>
        <w:jc w:val="center"/>
        <w:rPr>
          <w:rFonts w:hint="eastAsia" w:ascii="宋体" w:hAnsi="宋体" w:eastAsia="宋体" w:cs="宋体"/>
          <w:b/>
          <w:color w:val="auto"/>
          <w:sz w:val="30"/>
          <w:szCs w:val="30"/>
        </w:rPr>
      </w:pPr>
    </w:p>
    <w:p>
      <w:pPr>
        <w:jc w:val="center"/>
        <w:rPr>
          <w:rFonts w:hint="eastAsia" w:ascii="宋体" w:hAnsi="宋体" w:eastAsia="宋体" w:cs="宋体"/>
          <w:b/>
          <w:color w:val="auto"/>
          <w:sz w:val="30"/>
          <w:szCs w:val="30"/>
        </w:rPr>
      </w:pPr>
    </w:p>
    <w:p>
      <w:pPr>
        <w:jc w:val="center"/>
        <w:rPr>
          <w:rFonts w:hint="eastAsia" w:ascii="宋体" w:hAnsi="宋体" w:eastAsia="宋体" w:cs="宋体"/>
          <w:b/>
          <w:color w:val="auto"/>
          <w:sz w:val="30"/>
          <w:szCs w:val="30"/>
        </w:rPr>
      </w:pPr>
      <w:r>
        <w:rPr>
          <w:rFonts w:hint="eastAsia" w:ascii="宋体" w:hAnsi="宋体" w:eastAsia="宋体" w:cs="宋体"/>
          <w:b/>
          <w:color w:val="auto"/>
          <w:sz w:val="30"/>
          <w:szCs w:val="30"/>
        </w:rPr>
        <w:br w:type="page"/>
      </w:r>
    </w:p>
    <w:p>
      <w:pPr>
        <w:pStyle w:val="3"/>
        <w:rPr>
          <w:rFonts w:hint="eastAsia" w:ascii="宋体" w:hAnsi="宋体" w:eastAsia="宋体" w:cs="宋体"/>
          <w:color w:val="auto"/>
        </w:rPr>
      </w:pPr>
      <w:bookmarkStart w:id="5" w:name="_Toc17536929"/>
      <w:r>
        <w:rPr>
          <w:rFonts w:hint="eastAsia" w:ascii="宋体" w:hAnsi="宋体" w:eastAsia="宋体" w:cs="宋体"/>
          <w:color w:val="auto"/>
        </w:rPr>
        <w:t>第五章  谈判响应文件的组成</w:t>
      </w:r>
      <w:bookmarkEnd w:id="5"/>
    </w:p>
    <w:p>
      <w:pPr>
        <w:keepNext w:val="0"/>
        <w:keepLines w:val="0"/>
        <w:pageBreakBefore w:val="0"/>
        <w:widowControl w:val="0"/>
        <w:kinsoku/>
        <w:wordWrap/>
        <w:overflowPunct/>
        <w:topLinePunct w:val="0"/>
        <w:autoSpaceDE/>
        <w:autoSpaceDN/>
        <w:bidi w:val="0"/>
        <w:adjustRightInd w:val="0"/>
        <w:snapToGrid w:val="0"/>
        <w:spacing w:line="360" w:lineRule="exact"/>
        <w:ind w:firstLine="424" w:firstLineChars="201"/>
        <w:textAlignment w:val="auto"/>
        <w:rPr>
          <w:rFonts w:hint="eastAsia" w:ascii="宋体" w:hAnsi="宋体" w:eastAsia="宋体" w:cs="宋体"/>
          <w:b/>
          <w:color w:val="auto"/>
          <w:szCs w:val="21"/>
        </w:rPr>
      </w:pPr>
      <w:r>
        <w:rPr>
          <w:rFonts w:hint="eastAsia" w:ascii="宋体" w:hAnsi="宋体" w:eastAsia="宋体" w:cs="宋体"/>
          <w:b/>
          <w:color w:val="auto"/>
          <w:szCs w:val="21"/>
        </w:rPr>
        <w:t>一、资格审查材料，</w:t>
      </w:r>
      <w:r>
        <w:rPr>
          <w:rFonts w:hint="eastAsia" w:ascii="宋体" w:hAnsi="宋体" w:eastAsia="宋体" w:cs="宋体"/>
          <w:b/>
          <w:bCs/>
          <w:color w:val="auto"/>
          <w:szCs w:val="21"/>
        </w:rPr>
        <w:t>证明供应商符合资格要求的证明材料包括但不限于以下材料（谈判响应文件中提供复印件并加盖公章，未加盖公章的视为未提供该项材料。同时按备注要求将原件或公证件携带至谈判现场备查）</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Cs w:val="21"/>
        </w:rPr>
      </w:pPr>
      <w:r>
        <w:rPr>
          <w:rFonts w:hint="eastAsia" w:ascii="宋体" w:hAnsi="宋体" w:eastAsia="宋体" w:cs="宋体"/>
          <w:color w:val="auto"/>
          <w:szCs w:val="21"/>
        </w:rPr>
        <w:t>*1.谈判响应函</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Cs w:val="21"/>
        </w:rPr>
      </w:pPr>
      <w:r>
        <w:rPr>
          <w:rFonts w:hint="eastAsia" w:ascii="宋体" w:hAnsi="宋体" w:eastAsia="宋体" w:cs="宋体"/>
          <w:color w:val="auto"/>
          <w:szCs w:val="21"/>
        </w:rPr>
        <w:t>*2.法人或者其他组织的营业执照等证明文件</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Cs w:val="21"/>
        </w:rPr>
      </w:pPr>
      <w:r>
        <w:rPr>
          <w:rFonts w:hint="eastAsia" w:ascii="宋体" w:hAnsi="宋体" w:eastAsia="宋体" w:cs="宋体"/>
          <w:color w:val="auto"/>
          <w:szCs w:val="21"/>
        </w:rPr>
        <w:t>*3.法定代表人资格证明书、法定代表人身份证复印件（双面）</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Cs w:val="21"/>
        </w:rPr>
      </w:pPr>
      <w:r>
        <w:rPr>
          <w:rFonts w:hint="eastAsia" w:ascii="宋体" w:hAnsi="宋体" w:eastAsia="宋体" w:cs="宋体"/>
          <w:color w:val="auto"/>
          <w:szCs w:val="21"/>
        </w:rPr>
        <w:t>*4.授权委托书、代理人身份证复印件（双面）、供应商近三个月（自谈判之日起往前推）为其缴纳社保的记录（如果有授权委托情况的，必须提供）</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b/>
          <w:color w:val="auto"/>
          <w:szCs w:val="21"/>
        </w:rPr>
      </w:pPr>
      <w:r>
        <w:rPr>
          <w:rFonts w:hint="eastAsia" w:ascii="宋体" w:hAnsi="宋体" w:eastAsia="宋体" w:cs="宋体"/>
          <w:color w:val="auto"/>
          <w:szCs w:val="21"/>
        </w:rPr>
        <w:t>*5.谈判保证金单据</w:t>
      </w:r>
    </w:p>
    <w:p>
      <w:pPr>
        <w:keepNext w:val="0"/>
        <w:keepLines w:val="0"/>
        <w:pageBreakBefore w:val="0"/>
        <w:widowControl w:val="0"/>
        <w:kinsoku/>
        <w:wordWrap/>
        <w:overflowPunct/>
        <w:topLinePunct w:val="0"/>
        <w:autoSpaceDE/>
        <w:autoSpaceDN/>
        <w:bidi w:val="0"/>
        <w:adjustRightInd w:val="0"/>
        <w:snapToGrid w:val="0"/>
        <w:spacing w:line="360" w:lineRule="exact"/>
        <w:ind w:firstLine="424" w:firstLineChars="201"/>
        <w:textAlignment w:val="auto"/>
        <w:rPr>
          <w:rFonts w:hint="eastAsia" w:ascii="宋体" w:hAnsi="宋体" w:eastAsia="宋体" w:cs="宋体"/>
          <w:b/>
          <w:color w:val="auto"/>
          <w:szCs w:val="21"/>
        </w:rPr>
      </w:pPr>
      <w:r>
        <w:rPr>
          <w:rFonts w:hint="eastAsia" w:ascii="宋体" w:hAnsi="宋体" w:eastAsia="宋体" w:cs="宋体"/>
          <w:b/>
          <w:color w:val="auto"/>
          <w:szCs w:val="21"/>
        </w:rPr>
        <w:t>二、价格及有关商务部分材料</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Cs w:val="21"/>
        </w:rPr>
      </w:pPr>
      <w:r>
        <w:rPr>
          <w:rFonts w:hint="eastAsia" w:ascii="宋体" w:hAnsi="宋体" w:eastAsia="宋体" w:cs="宋体"/>
          <w:color w:val="auto"/>
          <w:szCs w:val="21"/>
        </w:rPr>
        <w:t>*1.报价一览表</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Cs w:val="21"/>
        </w:rPr>
      </w:pPr>
      <w:r>
        <w:rPr>
          <w:rFonts w:hint="eastAsia" w:ascii="宋体" w:hAnsi="宋体" w:eastAsia="宋体" w:cs="宋体"/>
          <w:color w:val="auto"/>
          <w:szCs w:val="21"/>
        </w:rPr>
        <w:t>*2.谈判分项报价表</w:t>
      </w:r>
    </w:p>
    <w:p>
      <w:pPr>
        <w:keepNext w:val="0"/>
        <w:keepLines w:val="0"/>
        <w:pageBreakBefore w:val="0"/>
        <w:widowControl w:val="0"/>
        <w:kinsoku/>
        <w:wordWrap/>
        <w:overflowPunct/>
        <w:topLinePunct w:val="0"/>
        <w:autoSpaceDE/>
        <w:autoSpaceDN/>
        <w:bidi w:val="0"/>
        <w:adjustRightInd w:val="0"/>
        <w:snapToGrid w:val="0"/>
        <w:spacing w:line="360" w:lineRule="exact"/>
        <w:ind w:firstLine="424" w:firstLineChars="201"/>
        <w:textAlignment w:val="auto"/>
        <w:rPr>
          <w:rFonts w:hint="eastAsia" w:ascii="宋体" w:hAnsi="宋体" w:eastAsia="宋体" w:cs="宋体"/>
          <w:b/>
          <w:color w:val="auto"/>
          <w:szCs w:val="21"/>
        </w:rPr>
      </w:pPr>
      <w:r>
        <w:rPr>
          <w:rFonts w:hint="eastAsia" w:ascii="宋体" w:hAnsi="宋体" w:eastAsia="宋体" w:cs="宋体"/>
          <w:b/>
          <w:color w:val="auto"/>
          <w:szCs w:val="21"/>
        </w:rPr>
        <w:t>三、技术部分材料</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Cs w:val="21"/>
        </w:rPr>
      </w:pPr>
      <w:r>
        <w:rPr>
          <w:rFonts w:hint="eastAsia" w:ascii="宋体" w:hAnsi="宋体" w:eastAsia="宋体" w:cs="宋体"/>
          <w:color w:val="auto"/>
          <w:szCs w:val="21"/>
        </w:rPr>
        <w:t>1.供应商简介</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Cs w:val="21"/>
        </w:rPr>
      </w:pPr>
      <w:r>
        <w:rPr>
          <w:rFonts w:hint="eastAsia" w:ascii="宋体" w:hAnsi="宋体" w:eastAsia="宋体" w:cs="宋体"/>
          <w:color w:val="auto"/>
          <w:szCs w:val="21"/>
        </w:rPr>
        <w:t>*2.提供所供产品技术资料</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Cs w:val="21"/>
        </w:rPr>
      </w:pPr>
      <w:r>
        <w:rPr>
          <w:rFonts w:hint="eastAsia" w:ascii="宋体" w:hAnsi="宋体" w:eastAsia="宋体" w:cs="宋体"/>
          <w:color w:val="auto"/>
          <w:szCs w:val="21"/>
        </w:rPr>
        <w:t>*3.质保及售后服务承诺</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Cs w:val="21"/>
        </w:rPr>
      </w:pPr>
      <w:r>
        <w:rPr>
          <w:rFonts w:hint="eastAsia" w:ascii="宋体" w:hAnsi="宋体" w:eastAsia="宋体" w:cs="宋体"/>
          <w:color w:val="auto"/>
          <w:szCs w:val="21"/>
        </w:rPr>
        <w:t>*4.偏离表</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Cs w:val="21"/>
        </w:rPr>
      </w:pPr>
      <w:r>
        <w:rPr>
          <w:rFonts w:hint="eastAsia" w:ascii="宋体" w:hAnsi="宋体" w:eastAsia="宋体" w:cs="宋体"/>
          <w:color w:val="auto"/>
          <w:szCs w:val="21"/>
        </w:rPr>
        <w:t>5.其他评审相关资料</w:t>
      </w:r>
    </w:p>
    <w:p>
      <w:pPr>
        <w:keepNext w:val="0"/>
        <w:keepLines w:val="0"/>
        <w:pageBreakBefore w:val="0"/>
        <w:widowControl w:val="0"/>
        <w:kinsoku/>
        <w:wordWrap/>
        <w:overflowPunct/>
        <w:topLinePunct w:val="0"/>
        <w:autoSpaceDE/>
        <w:autoSpaceDN/>
        <w:bidi w:val="0"/>
        <w:adjustRightInd w:val="0"/>
        <w:snapToGrid w:val="0"/>
        <w:spacing w:line="360" w:lineRule="exact"/>
        <w:ind w:firstLine="424" w:firstLineChars="201"/>
        <w:textAlignment w:val="auto"/>
        <w:rPr>
          <w:rFonts w:hint="eastAsia" w:ascii="宋体" w:hAnsi="宋体" w:eastAsia="宋体" w:cs="宋体"/>
          <w:b/>
          <w:bCs/>
          <w:color w:val="auto"/>
          <w:szCs w:val="21"/>
        </w:rPr>
      </w:pPr>
      <w:r>
        <w:rPr>
          <w:rFonts w:hint="eastAsia" w:ascii="宋体" w:hAnsi="宋体" w:eastAsia="宋体" w:cs="宋体"/>
          <w:b/>
          <w:bCs/>
          <w:color w:val="auto"/>
          <w:szCs w:val="21"/>
        </w:rPr>
        <w:t>四、说明</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b/>
          <w:bCs/>
          <w:color w:val="auto"/>
          <w:szCs w:val="21"/>
        </w:rPr>
      </w:pPr>
      <w:r>
        <w:rPr>
          <w:rFonts w:hint="eastAsia" w:ascii="宋体" w:hAnsi="宋体" w:eastAsia="宋体" w:cs="宋体"/>
          <w:color w:val="auto"/>
          <w:szCs w:val="21"/>
        </w:rPr>
        <w:t>1.上述带“*”条款供应商必须在谈判响应文件中提供，否则将作为无效响应处理。</w:t>
      </w:r>
      <w:r>
        <w:rPr>
          <w:rFonts w:hint="eastAsia" w:ascii="宋体" w:hAnsi="宋体" w:eastAsia="宋体" w:cs="宋体"/>
          <w:b/>
          <w:bCs/>
          <w:color w:val="auto"/>
          <w:szCs w:val="21"/>
        </w:rPr>
        <w:t>所有项目若有缺失或无效将可能导致无效响应且不允许在谈判响应文件提交截止后补正。</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Cs w:val="21"/>
        </w:rPr>
      </w:pPr>
      <w:r>
        <w:rPr>
          <w:rFonts w:hint="eastAsia" w:ascii="宋体" w:hAnsi="宋体" w:eastAsia="宋体" w:cs="宋体"/>
          <w:color w:val="auto"/>
          <w:szCs w:val="21"/>
        </w:rPr>
        <w:t>2.对本章所有的格式 ，供应商可根据自身情况进行补充和修改，但补充和修改不得造成与本格式内容有实质性的违背。供应商可提供其它相关的证明材料（不限于此）。</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b/>
          <w:color w:val="auto"/>
          <w:szCs w:val="21"/>
        </w:rPr>
      </w:pPr>
      <w:r>
        <w:rPr>
          <w:rFonts w:hint="eastAsia" w:ascii="宋体" w:hAnsi="宋体" w:eastAsia="宋体" w:cs="宋体"/>
          <w:color w:val="auto"/>
          <w:szCs w:val="21"/>
        </w:rPr>
        <w:t>3.谈判响应文件需按本章要求进行编制。</w:t>
      </w:r>
    </w:p>
    <w:p>
      <w:pPr>
        <w:spacing w:line="360" w:lineRule="exact"/>
        <w:rPr>
          <w:rFonts w:hint="eastAsia" w:ascii="宋体" w:hAnsi="宋体" w:eastAsia="宋体" w:cs="宋体"/>
          <w:color w:val="auto"/>
          <w:szCs w:val="21"/>
        </w:rPr>
      </w:pPr>
    </w:p>
    <w:p>
      <w:pPr>
        <w:jc w:val="center"/>
        <w:rPr>
          <w:rFonts w:hint="eastAsia" w:ascii="宋体" w:hAnsi="宋体" w:eastAsia="宋体" w:cs="宋体"/>
          <w:b/>
          <w:color w:val="auto"/>
          <w:sz w:val="30"/>
          <w:szCs w:val="30"/>
        </w:rPr>
      </w:pPr>
    </w:p>
    <w:p>
      <w:pPr>
        <w:jc w:val="center"/>
        <w:rPr>
          <w:rFonts w:hint="eastAsia" w:ascii="宋体" w:hAnsi="宋体" w:eastAsia="宋体" w:cs="宋体"/>
          <w:b/>
          <w:color w:val="auto"/>
          <w:sz w:val="30"/>
          <w:szCs w:val="30"/>
        </w:rPr>
      </w:pPr>
    </w:p>
    <w:p>
      <w:pPr>
        <w:jc w:val="center"/>
        <w:rPr>
          <w:rFonts w:hint="eastAsia" w:ascii="宋体" w:hAnsi="宋体" w:eastAsia="宋体" w:cs="宋体"/>
          <w:b/>
          <w:color w:val="auto"/>
          <w:sz w:val="30"/>
          <w:szCs w:val="30"/>
        </w:rPr>
      </w:pPr>
    </w:p>
    <w:p>
      <w:pPr>
        <w:jc w:val="center"/>
        <w:rPr>
          <w:rFonts w:hint="eastAsia" w:ascii="宋体" w:hAnsi="宋体" w:eastAsia="宋体" w:cs="宋体"/>
          <w:b/>
          <w:color w:val="auto"/>
          <w:sz w:val="30"/>
          <w:szCs w:val="30"/>
        </w:rPr>
      </w:pPr>
    </w:p>
    <w:p>
      <w:pPr>
        <w:pStyle w:val="3"/>
        <w:rPr>
          <w:rFonts w:hint="eastAsia" w:ascii="宋体" w:hAnsi="宋体" w:eastAsia="宋体" w:cs="宋体"/>
          <w:color w:val="auto"/>
        </w:rPr>
      </w:pPr>
      <w:r>
        <w:rPr>
          <w:rFonts w:hint="eastAsia" w:ascii="宋体" w:hAnsi="宋体" w:eastAsia="宋体" w:cs="宋体"/>
          <w:color w:val="auto"/>
        </w:rPr>
        <w:br w:type="page"/>
      </w:r>
    </w:p>
    <w:p>
      <w:pPr>
        <w:pStyle w:val="3"/>
        <w:rPr>
          <w:rFonts w:hint="eastAsia" w:ascii="宋体" w:hAnsi="宋体" w:eastAsia="宋体" w:cs="宋体"/>
          <w:color w:val="auto"/>
        </w:rPr>
      </w:pPr>
      <w:bookmarkStart w:id="6" w:name="_Toc17536930"/>
      <w:r>
        <w:rPr>
          <w:rFonts w:hint="eastAsia" w:ascii="宋体" w:hAnsi="宋体" w:eastAsia="宋体" w:cs="宋体"/>
          <w:color w:val="auto"/>
        </w:rPr>
        <w:t>第六章  附    件</w:t>
      </w:r>
      <w:bookmarkEnd w:id="6"/>
    </w:p>
    <w:p>
      <w:pPr>
        <w:pStyle w:val="48"/>
        <w:spacing w:line="360" w:lineRule="exact"/>
        <w:rPr>
          <w:rFonts w:hint="eastAsia" w:ascii="宋体" w:hAnsi="宋体" w:eastAsia="宋体" w:cs="宋体"/>
          <w:b/>
          <w:color w:val="auto"/>
          <w:sz w:val="28"/>
          <w:szCs w:val="28"/>
        </w:rPr>
      </w:pPr>
    </w:p>
    <w:p>
      <w:pPr>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告 知 书</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尊敬的供应商及项目参与人：</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为营造公开、公正的市场环境，确保采购工作规范有序开展，特将有关事项告知如下：</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一、欢迎供应商及项目参与人对代理机构工作人员进行监督。凡发现代理机构工作人员有以下情形的，均可以书面具名方式举报，请投送至本公司总经理室。</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（一）接受供应商组织的宴请、旅游、娱乐等活动；</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（二）与供应商或采购人恶意串通的；</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（三）在采购过程中接受贿赂或者获取不正当利益的；</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（四）违规向关联参与人或供应商透露招投标或评审信息的；</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（五）其他违纪违规行为。</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二、供应商及项目参与人应当遵守采购活动工作规则，有下列情形之一的，将被列入不良行为纪录，建议有关行政监督部门禁止其一至三年内参与采购代理机构组织的一切项目，并在相关媒体网站予以公布：</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（一）</w:t>
      </w:r>
      <w:bookmarkStart w:id="7" w:name="OLE_LINK1"/>
      <w:r>
        <w:rPr>
          <w:rFonts w:hint="eastAsia" w:ascii="宋体" w:hAnsi="宋体" w:eastAsia="宋体" w:cs="宋体"/>
          <w:color w:val="auto"/>
          <w:szCs w:val="21"/>
        </w:rPr>
        <w:t>在采购活动实施过程中，有吵闹、起哄、斗殴等行为，扰乱谈判现场或评审现场秩序的，以及在谈判答疑、领取竞争性谈判文件、办理相关手续过程中扰乱正常办公秩序的；</w:t>
      </w:r>
    </w:p>
    <w:bookmarkEnd w:id="7"/>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（二）采取不正当手段诋毁、排挤其他供应商的；</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（三）提供虚假材料谋取成交、成交的；</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（四）向采购人、采购代理机构工作人员行贿或提供其他不正当利益的；</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（五）在招投采购过程中与采购人进行协商谈判的；</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（六）未按规定程序进行质疑、投诉，影响项目正常进行的。</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监督办公室：常州市城投建设工程招标有限公司总经理室</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投诉监督电话：0519-81581212</w:t>
      </w:r>
    </w:p>
    <w:p>
      <w:pPr>
        <w:pStyle w:val="59"/>
        <w:spacing w:line="360" w:lineRule="exact"/>
        <w:outlineLvl w:val="1"/>
        <w:rPr>
          <w:rFonts w:hint="eastAsia" w:ascii="宋体" w:hAnsi="宋体" w:eastAsia="宋体" w:cs="宋体"/>
          <w:b/>
          <w:color w:val="auto"/>
          <w:sz w:val="28"/>
          <w:szCs w:val="28"/>
        </w:rPr>
      </w:pPr>
    </w:p>
    <w:p>
      <w:pPr>
        <w:pStyle w:val="48"/>
        <w:spacing w:line="360" w:lineRule="exact"/>
        <w:rPr>
          <w:rFonts w:hint="eastAsia" w:ascii="宋体" w:hAnsi="宋体" w:eastAsia="宋体" w:cs="宋体"/>
          <w:b/>
          <w:color w:val="auto"/>
          <w:sz w:val="28"/>
          <w:szCs w:val="28"/>
        </w:rPr>
      </w:pPr>
    </w:p>
    <w:p>
      <w:pPr>
        <w:pStyle w:val="48"/>
        <w:spacing w:line="360" w:lineRule="exact"/>
        <w:rPr>
          <w:rFonts w:hint="eastAsia" w:ascii="宋体" w:hAnsi="宋体" w:eastAsia="宋体" w:cs="宋体"/>
          <w:b/>
          <w:color w:val="auto"/>
          <w:sz w:val="28"/>
          <w:szCs w:val="28"/>
        </w:rPr>
      </w:pPr>
    </w:p>
    <w:p>
      <w:pPr>
        <w:pStyle w:val="48"/>
        <w:spacing w:line="360" w:lineRule="exact"/>
        <w:rPr>
          <w:rFonts w:hint="eastAsia" w:ascii="宋体" w:hAnsi="宋体" w:eastAsia="宋体" w:cs="宋体"/>
          <w:b/>
          <w:color w:val="auto"/>
          <w:sz w:val="28"/>
          <w:szCs w:val="28"/>
        </w:rPr>
      </w:pPr>
    </w:p>
    <w:p>
      <w:pPr>
        <w:pStyle w:val="48"/>
        <w:spacing w:line="360" w:lineRule="exact"/>
        <w:rPr>
          <w:rFonts w:hint="eastAsia" w:ascii="宋体" w:hAnsi="宋体" w:eastAsia="宋体" w:cs="宋体"/>
          <w:b/>
          <w:color w:val="auto"/>
          <w:sz w:val="28"/>
          <w:szCs w:val="28"/>
        </w:rPr>
      </w:pPr>
    </w:p>
    <w:p>
      <w:pPr>
        <w:pStyle w:val="48"/>
        <w:spacing w:line="36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pPr>
        <w:pStyle w:val="48"/>
        <w:spacing w:line="360" w:lineRule="exact"/>
        <w:rPr>
          <w:rFonts w:hint="eastAsia" w:ascii="宋体" w:hAnsi="宋体" w:eastAsia="宋体" w:cs="宋体"/>
          <w:b/>
          <w:color w:val="auto"/>
          <w:sz w:val="32"/>
        </w:rPr>
      </w:pPr>
      <w:r>
        <w:rPr>
          <w:rFonts w:hint="eastAsia" w:ascii="宋体" w:hAnsi="宋体" w:eastAsia="宋体" w:cs="宋体"/>
          <w:b/>
          <w:color w:val="auto"/>
          <w:sz w:val="28"/>
          <w:szCs w:val="28"/>
        </w:rPr>
        <w:t>1.谈判响应函</w:t>
      </w:r>
    </w:p>
    <w:p>
      <w:pPr>
        <w:pStyle w:val="18"/>
        <w:rPr>
          <w:rFonts w:hint="eastAsia" w:ascii="宋体" w:hAnsi="宋体" w:eastAsia="宋体" w:cs="宋体"/>
          <w:color w:val="auto"/>
        </w:rPr>
      </w:pPr>
    </w:p>
    <w:p>
      <w:pPr>
        <w:pStyle w:val="48"/>
        <w:spacing w:line="36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谈判响应函</w:t>
      </w:r>
    </w:p>
    <w:p>
      <w:pPr>
        <w:pStyle w:val="48"/>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致：</w:t>
      </w:r>
      <w:r>
        <w:rPr>
          <w:rFonts w:hint="eastAsia" w:cs="宋体"/>
          <w:color w:val="auto"/>
          <w:sz w:val="21"/>
          <w:szCs w:val="21"/>
          <w:lang w:eastAsia="zh-CN"/>
        </w:rPr>
        <w:t>常州市钟楼区北港街道办事处（人民武装部）、</w:t>
      </w:r>
      <w:r>
        <w:rPr>
          <w:rFonts w:hint="eastAsia" w:ascii="宋体" w:hAnsi="宋体" w:eastAsia="宋体" w:cs="宋体"/>
          <w:color w:val="auto"/>
          <w:sz w:val="21"/>
          <w:szCs w:val="21"/>
        </w:rPr>
        <w:t>常州市城投建设工程招标有限公司：</w:t>
      </w:r>
    </w:p>
    <w:p>
      <w:pPr>
        <w:pStyle w:val="48"/>
        <w:spacing w:line="360" w:lineRule="exact"/>
        <w:ind w:firstLine="420"/>
        <w:jc w:val="left"/>
        <w:rPr>
          <w:rFonts w:hint="eastAsia" w:ascii="宋体" w:hAnsi="宋体" w:eastAsia="宋体" w:cs="宋体"/>
          <w:color w:val="auto"/>
          <w:sz w:val="21"/>
          <w:szCs w:val="21"/>
        </w:rPr>
      </w:pPr>
      <w:r>
        <w:rPr>
          <w:rFonts w:hint="eastAsia" w:ascii="宋体" w:hAnsi="宋体" w:eastAsia="宋体" w:cs="宋体"/>
          <w:color w:val="auto"/>
          <w:sz w:val="21"/>
          <w:szCs w:val="21"/>
        </w:rPr>
        <w:t>我单位收到贵单位“       号”竞争性谈判文件后，经仔细阅读和研究，我单位决定参加本项目的竞争性谈判活动。为此，我单位郑重声明以下诸点，并负法律责任。</w:t>
      </w:r>
    </w:p>
    <w:p>
      <w:pPr>
        <w:pStyle w:val="48"/>
        <w:spacing w:line="360" w:lineRule="exact"/>
        <w:ind w:firstLine="420"/>
        <w:jc w:val="left"/>
        <w:rPr>
          <w:rFonts w:hint="eastAsia" w:ascii="宋体" w:hAnsi="宋体" w:eastAsia="宋体" w:cs="宋体"/>
          <w:color w:val="auto"/>
          <w:sz w:val="21"/>
          <w:szCs w:val="21"/>
        </w:rPr>
      </w:pPr>
      <w:r>
        <w:rPr>
          <w:rFonts w:hint="eastAsia" w:ascii="宋体" w:hAnsi="宋体" w:eastAsia="宋体" w:cs="宋体"/>
          <w:color w:val="auto"/>
          <w:sz w:val="21"/>
          <w:szCs w:val="21"/>
        </w:rPr>
        <w:t>1.我单位愿意遵守贵单位有关采购的各项规定，提供竞争性谈判文件中要求的所有资料，并保证完全真实准确，若有虚假和违背，我单位愿意承担由此而产生的一切后果。</w:t>
      </w:r>
    </w:p>
    <w:p>
      <w:pPr>
        <w:pStyle w:val="48"/>
        <w:spacing w:line="360" w:lineRule="exact"/>
        <w:ind w:firstLine="420"/>
        <w:jc w:val="left"/>
        <w:rPr>
          <w:rFonts w:hint="eastAsia" w:ascii="宋体" w:hAnsi="宋体" w:eastAsia="宋体" w:cs="宋体"/>
          <w:color w:val="auto"/>
          <w:sz w:val="21"/>
          <w:szCs w:val="21"/>
        </w:rPr>
      </w:pPr>
      <w:r>
        <w:rPr>
          <w:rFonts w:hint="eastAsia" w:ascii="宋体" w:hAnsi="宋体" w:eastAsia="宋体" w:cs="宋体"/>
          <w:color w:val="auto"/>
          <w:sz w:val="21"/>
          <w:szCs w:val="21"/>
        </w:rPr>
        <w:t>2.我单位承诺财务状况良好，依法缴纳税收和社会保障资金，具备履行合同所必需的设备和专业技术能力，参加采购活动前3年内在经营活动中没有重大违法记录。</w:t>
      </w:r>
    </w:p>
    <w:p>
      <w:pPr>
        <w:adjustRightInd w:val="0"/>
        <w:snapToGrid w:val="0"/>
        <w:spacing w:line="360" w:lineRule="exact"/>
        <w:ind w:firstLine="422" w:firstLineChars="201"/>
        <w:rPr>
          <w:rFonts w:hint="eastAsia" w:ascii="宋体" w:hAnsi="宋体" w:eastAsia="宋体" w:cs="宋体"/>
          <w:color w:val="auto"/>
          <w:szCs w:val="21"/>
        </w:rPr>
      </w:pPr>
      <w:r>
        <w:rPr>
          <w:rFonts w:hint="eastAsia" w:ascii="宋体" w:hAnsi="宋体" w:eastAsia="宋体" w:cs="宋体"/>
          <w:color w:val="auto"/>
          <w:szCs w:val="21"/>
        </w:rPr>
        <w:t>3.我单位承诺保证采购人在使用该货物或其任何一部分时不受第三方提出侵犯其专利权</w:t>
      </w:r>
      <w:r>
        <w:rPr>
          <w:rFonts w:hint="eastAsia" w:ascii="宋体" w:hAnsi="宋体" w:eastAsia="宋体" w:cs="宋体"/>
          <w:color w:val="auto"/>
          <w:shd w:val="clear" w:color="auto" w:fill="FFFFFF"/>
        </w:rPr>
        <w:t>、著作权、商标权等知识产权的起诉。</w:t>
      </w:r>
      <w:r>
        <w:rPr>
          <w:rFonts w:hint="eastAsia" w:ascii="宋体" w:hAnsi="宋体" w:eastAsia="宋体" w:cs="宋体"/>
          <w:color w:val="auto"/>
          <w:szCs w:val="21"/>
        </w:rPr>
        <w:t>一旦出现侵权、索赔或诉讼，我单位承担全部责任。</w:t>
      </w:r>
    </w:p>
    <w:p>
      <w:pPr>
        <w:pStyle w:val="48"/>
        <w:spacing w:line="360" w:lineRule="exact"/>
        <w:ind w:firstLine="420"/>
        <w:jc w:val="left"/>
        <w:rPr>
          <w:rFonts w:hint="eastAsia" w:ascii="宋体" w:hAnsi="宋体" w:eastAsia="宋体" w:cs="宋体"/>
          <w:color w:val="auto"/>
          <w:sz w:val="21"/>
          <w:szCs w:val="21"/>
        </w:rPr>
      </w:pPr>
      <w:r>
        <w:rPr>
          <w:rFonts w:hint="eastAsia" w:ascii="宋体" w:hAnsi="宋体" w:eastAsia="宋体" w:cs="宋体"/>
          <w:color w:val="auto"/>
          <w:sz w:val="21"/>
          <w:szCs w:val="21"/>
        </w:rPr>
        <w:t>4.我单位承诺该谈判响应文件在谈判开始后的全过程中保持有效，不作任何更改和变动。并同意按竞争性谈判文件中的规定，本谈判响应文件的有效期限为谈判开始后</w:t>
      </w:r>
      <w:r>
        <w:rPr>
          <w:rFonts w:hint="eastAsia" w:ascii="宋体" w:hAnsi="宋体" w:eastAsia="宋体" w:cs="宋体"/>
          <w:color w:val="auto"/>
          <w:sz w:val="21"/>
          <w:szCs w:val="21"/>
          <w:u w:val="single"/>
        </w:rPr>
        <w:t>60</w:t>
      </w:r>
      <w:r>
        <w:rPr>
          <w:rFonts w:hint="eastAsia" w:ascii="宋体" w:hAnsi="宋体" w:eastAsia="宋体" w:cs="宋体"/>
          <w:color w:val="auto"/>
          <w:sz w:val="21"/>
          <w:szCs w:val="21"/>
        </w:rPr>
        <w:t>天。</w:t>
      </w:r>
    </w:p>
    <w:p>
      <w:pPr>
        <w:pStyle w:val="48"/>
        <w:spacing w:line="360" w:lineRule="exact"/>
        <w:ind w:firstLine="420"/>
        <w:jc w:val="left"/>
        <w:rPr>
          <w:rFonts w:hint="eastAsia" w:ascii="宋体" w:hAnsi="宋体" w:eastAsia="宋体" w:cs="宋体"/>
          <w:color w:val="auto"/>
          <w:sz w:val="21"/>
          <w:szCs w:val="21"/>
        </w:rPr>
      </w:pPr>
      <w:r>
        <w:rPr>
          <w:rFonts w:hint="eastAsia" w:ascii="宋体" w:hAnsi="宋体" w:eastAsia="宋体" w:cs="宋体"/>
          <w:color w:val="auto"/>
          <w:sz w:val="21"/>
          <w:szCs w:val="21"/>
        </w:rPr>
        <w:t>5.我单位愿意按竞争性谈判文件规定的各项要求，向采购人提供所需货物与服务。谈判报价包括但不限于竞争性谈判文件及其准备（包括现场踏勘、技术核对等）、设备（包括备品备件、专用工具）、技术资料、设计、制造、检验、包装、发货、运输、装卸至现场指定地点、安装调试、技术指导培训、质保期及维保服务和竞争性谈判文件所要求的相关服务等全部内容。</w:t>
      </w:r>
    </w:p>
    <w:p>
      <w:pPr>
        <w:pStyle w:val="48"/>
        <w:spacing w:line="360" w:lineRule="exact"/>
        <w:ind w:firstLine="420"/>
        <w:jc w:val="left"/>
        <w:rPr>
          <w:rFonts w:hint="eastAsia" w:ascii="宋体" w:hAnsi="宋体" w:eastAsia="宋体" w:cs="宋体"/>
          <w:color w:val="auto"/>
          <w:sz w:val="21"/>
          <w:szCs w:val="21"/>
        </w:rPr>
      </w:pPr>
      <w:r>
        <w:rPr>
          <w:rFonts w:hint="eastAsia" w:ascii="宋体" w:hAnsi="宋体" w:eastAsia="宋体" w:cs="宋体"/>
          <w:color w:val="auto"/>
          <w:sz w:val="21"/>
          <w:szCs w:val="21"/>
        </w:rPr>
        <w:t>6.我单位认为贵单位有权决定成交供应商，还认为贵单位有权接受或拒绝所有的供应商。</w:t>
      </w:r>
    </w:p>
    <w:p>
      <w:pPr>
        <w:pStyle w:val="48"/>
        <w:spacing w:line="360" w:lineRule="exact"/>
        <w:ind w:firstLine="420"/>
        <w:jc w:val="left"/>
        <w:rPr>
          <w:rFonts w:hint="eastAsia" w:ascii="宋体" w:hAnsi="宋体" w:eastAsia="宋体" w:cs="宋体"/>
          <w:color w:val="auto"/>
          <w:sz w:val="21"/>
          <w:szCs w:val="21"/>
        </w:rPr>
      </w:pPr>
      <w:r>
        <w:rPr>
          <w:rFonts w:hint="eastAsia" w:ascii="宋体" w:hAnsi="宋体" w:eastAsia="宋体" w:cs="宋体"/>
          <w:color w:val="auto"/>
          <w:sz w:val="21"/>
          <w:szCs w:val="21"/>
        </w:rPr>
        <w:t>7.我单位愿意遵守竞争性谈判文件中所列的收费标准，按竞争性谈判文件的规定交纳谈判保证金；若我单位成交，我单位愿意在签订合同前支付履约保证金，并按竞争性谈判文件的规定支付成交服务费。</w:t>
      </w:r>
    </w:p>
    <w:p>
      <w:pPr>
        <w:pStyle w:val="48"/>
        <w:spacing w:line="360" w:lineRule="exact"/>
        <w:ind w:firstLine="420"/>
        <w:jc w:val="left"/>
        <w:rPr>
          <w:rFonts w:hint="eastAsia" w:ascii="宋体" w:hAnsi="宋体" w:eastAsia="宋体" w:cs="宋体"/>
          <w:color w:val="auto"/>
          <w:sz w:val="21"/>
          <w:szCs w:val="21"/>
        </w:rPr>
      </w:pPr>
      <w:r>
        <w:rPr>
          <w:rFonts w:hint="eastAsia" w:ascii="宋体" w:hAnsi="宋体" w:eastAsia="宋体" w:cs="宋体"/>
          <w:color w:val="auto"/>
          <w:sz w:val="21"/>
          <w:szCs w:val="21"/>
        </w:rPr>
        <w:t>8.如果我单位的谈判响应文件被接受，愿按《中华人民共和国合同法》履行自己的全部责任，同时严格履行竞争性谈判文件中规定的每一项要求，按期、按质、按量履行合同的义务。</w:t>
      </w:r>
    </w:p>
    <w:p>
      <w:pPr>
        <w:pStyle w:val="48"/>
        <w:spacing w:line="360" w:lineRule="exact"/>
        <w:ind w:firstLine="405"/>
        <w:rPr>
          <w:rFonts w:hint="eastAsia" w:ascii="宋体" w:hAnsi="宋体" w:eastAsia="宋体" w:cs="宋体"/>
          <w:color w:val="auto"/>
          <w:sz w:val="21"/>
          <w:szCs w:val="21"/>
        </w:rPr>
      </w:pPr>
      <w:r>
        <w:rPr>
          <w:rFonts w:hint="eastAsia" w:ascii="宋体" w:hAnsi="宋体" w:eastAsia="宋体" w:cs="宋体"/>
          <w:color w:val="auto"/>
          <w:sz w:val="21"/>
          <w:szCs w:val="21"/>
        </w:rPr>
        <w:t>9.与本次谈判有关的正式通讯地址为：</w:t>
      </w:r>
    </w:p>
    <w:p>
      <w:pPr>
        <w:pStyle w:val="48"/>
        <w:spacing w:line="360" w:lineRule="exact"/>
        <w:jc w:val="left"/>
        <w:rPr>
          <w:rFonts w:hint="eastAsia" w:ascii="宋体" w:hAnsi="宋体" w:eastAsia="宋体" w:cs="宋体"/>
          <w:color w:val="auto"/>
          <w:sz w:val="21"/>
          <w:szCs w:val="21"/>
        </w:rPr>
      </w:pPr>
    </w:p>
    <w:p>
      <w:pPr>
        <w:pStyle w:val="48"/>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地   址：                  </w:t>
      </w:r>
    </w:p>
    <w:p>
      <w:pPr>
        <w:pStyle w:val="48"/>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电   话：                  </w:t>
      </w:r>
    </w:p>
    <w:p>
      <w:pPr>
        <w:pStyle w:val="48"/>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传   真：                  </w:t>
      </w:r>
    </w:p>
    <w:p>
      <w:pPr>
        <w:pStyle w:val="48"/>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供应商法定代表人或代理人（签字或盖章）：       </w:t>
      </w:r>
    </w:p>
    <w:p>
      <w:pPr>
        <w:pStyle w:val="48"/>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供应商名称（公章）：             </w:t>
      </w:r>
    </w:p>
    <w:p>
      <w:pPr>
        <w:pStyle w:val="48"/>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日    期：     年    月    日.</w:t>
      </w:r>
    </w:p>
    <w:p>
      <w:pPr>
        <w:pStyle w:val="18"/>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pStyle w:val="48"/>
        <w:spacing w:line="360" w:lineRule="exact"/>
        <w:rPr>
          <w:rFonts w:hint="eastAsia" w:ascii="宋体" w:hAnsi="宋体" w:eastAsia="宋体" w:cs="宋体"/>
          <w:b/>
          <w:color w:val="auto"/>
          <w:sz w:val="28"/>
          <w:szCs w:val="28"/>
        </w:rPr>
      </w:pPr>
    </w:p>
    <w:p>
      <w:pPr>
        <w:pStyle w:val="48"/>
        <w:spacing w:line="36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2.法定代表人资格证明书</w:t>
      </w:r>
    </w:p>
    <w:p>
      <w:pPr>
        <w:rPr>
          <w:rFonts w:hint="eastAsia" w:ascii="宋体" w:hAnsi="宋体" w:eastAsia="宋体" w:cs="宋体"/>
          <w:color w:val="auto"/>
        </w:rPr>
      </w:pPr>
    </w:p>
    <w:p>
      <w:pPr>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28"/>
          <w:szCs w:val="28"/>
        </w:rPr>
        <w:t>法定代表人资格证明书</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单位名称:</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地址:</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姓名:            性别:        年龄:        职务:</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系</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的法定代表人。为实施 </w:t>
      </w:r>
      <w:r>
        <w:rPr>
          <w:rFonts w:hint="eastAsia" w:ascii="宋体" w:hAnsi="宋体" w:eastAsia="宋体" w:cs="宋体"/>
          <w:color w:val="auto"/>
          <w:szCs w:val="21"/>
          <w:u w:val="single"/>
        </w:rPr>
        <w:t xml:space="preserve">           （      号） </w:t>
      </w:r>
      <w:r>
        <w:rPr>
          <w:rFonts w:hint="eastAsia" w:ascii="宋体" w:hAnsi="宋体" w:eastAsia="宋体" w:cs="宋体"/>
          <w:color w:val="auto"/>
          <w:szCs w:val="21"/>
        </w:rPr>
        <w:t>的工作，签署上述项目的谈判响应文件、进行合同谈判、签署合同和处理与之有关的一切事务。</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特此证明。</w:t>
      </w:r>
    </w:p>
    <w:p>
      <w:pPr>
        <w:spacing w:line="360" w:lineRule="auto"/>
        <w:rPr>
          <w:rFonts w:hint="eastAsia" w:ascii="宋体" w:hAnsi="宋体" w:eastAsia="宋体" w:cs="宋体"/>
          <w:color w:val="auto"/>
          <w:szCs w:val="21"/>
        </w:rPr>
      </w:pPr>
    </w:p>
    <w:p>
      <w:pPr>
        <w:spacing w:line="360" w:lineRule="auto"/>
        <w:rPr>
          <w:rFonts w:hint="eastAsia" w:ascii="宋体" w:hAnsi="宋体" w:eastAsia="宋体" w:cs="宋体"/>
          <w:color w:val="auto"/>
          <w:szCs w:val="21"/>
        </w:rPr>
      </w:pP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                 供应商：（公章）</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                     法定代表人签字或盖章：</w:t>
      </w:r>
    </w:p>
    <w:p>
      <w:pPr>
        <w:spacing w:line="360" w:lineRule="auto"/>
        <w:ind w:firstLine="3570" w:firstLineChars="1700"/>
        <w:rPr>
          <w:rFonts w:hint="eastAsia" w:ascii="宋体" w:hAnsi="宋体" w:eastAsia="宋体" w:cs="宋体"/>
          <w:color w:val="auto"/>
          <w:szCs w:val="21"/>
        </w:rPr>
      </w:pPr>
      <w:r>
        <w:rPr>
          <w:rFonts w:hint="eastAsia" w:ascii="宋体" w:hAnsi="宋体" w:eastAsia="宋体" w:cs="宋体"/>
          <w:color w:val="auto"/>
          <w:szCs w:val="21"/>
        </w:rPr>
        <w:t>日期：    年    月    日</w:t>
      </w:r>
    </w:p>
    <w:p>
      <w:pPr>
        <w:tabs>
          <w:tab w:val="left" w:pos="6045"/>
        </w:tabs>
        <w:snapToGrid w:val="0"/>
        <w:spacing w:line="360" w:lineRule="auto"/>
        <w:ind w:left="210" w:hanging="210" w:hangingChars="100"/>
        <w:rPr>
          <w:rFonts w:hint="eastAsia" w:ascii="宋体" w:hAnsi="宋体" w:eastAsia="宋体" w:cs="宋体"/>
          <w:color w:val="auto"/>
          <w:szCs w:val="21"/>
        </w:rPr>
      </w:pPr>
    </w:p>
    <w:p>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 </w:t>
      </w:r>
    </w:p>
    <w:p>
      <w:pPr>
        <w:snapToGrid w:val="0"/>
        <w:spacing w:line="360" w:lineRule="auto"/>
        <w:rPr>
          <w:rFonts w:hint="eastAsia" w:ascii="宋体" w:hAnsi="宋体" w:eastAsia="宋体" w:cs="宋体"/>
          <w:color w:val="auto"/>
          <w:szCs w:val="21"/>
        </w:rPr>
      </w:pPr>
    </w:p>
    <w:p>
      <w:pPr>
        <w:snapToGrid w:val="0"/>
        <w:spacing w:line="360" w:lineRule="auto"/>
        <w:rPr>
          <w:rFonts w:hint="eastAsia" w:ascii="宋体" w:hAnsi="宋体" w:eastAsia="宋体" w:cs="宋体"/>
          <w:b/>
          <w:color w:val="auto"/>
          <w:szCs w:val="21"/>
        </w:rPr>
      </w:pP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法定代表人身份证</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（双面复印件）粘贴处</w:t>
      </w:r>
    </w:p>
    <w:p>
      <w:pPr>
        <w:snapToGrid w:val="0"/>
        <w:spacing w:line="360" w:lineRule="auto"/>
        <w:rPr>
          <w:rFonts w:hint="eastAsia" w:ascii="宋体" w:hAnsi="宋体" w:eastAsia="宋体" w:cs="宋体"/>
          <w:b/>
          <w:color w:val="auto"/>
          <w:sz w:val="24"/>
          <w:szCs w:val="28"/>
        </w:rPr>
      </w:pPr>
    </w:p>
    <w:p>
      <w:pPr>
        <w:snapToGrid w:val="0"/>
        <w:spacing w:line="360" w:lineRule="auto"/>
        <w:rPr>
          <w:rFonts w:hint="eastAsia" w:ascii="宋体" w:hAnsi="宋体" w:eastAsia="宋体" w:cs="宋体"/>
          <w:b/>
          <w:color w:val="auto"/>
          <w:sz w:val="24"/>
          <w:szCs w:val="28"/>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pageBreakBefore/>
        <w:spacing w:line="360" w:lineRule="auto"/>
        <w:rPr>
          <w:rFonts w:hint="eastAsia" w:ascii="宋体" w:hAnsi="宋体" w:eastAsia="宋体" w:cs="宋体"/>
          <w:b/>
          <w:color w:val="auto"/>
          <w:sz w:val="28"/>
        </w:rPr>
      </w:pPr>
      <w:r>
        <w:rPr>
          <w:rFonts w:hint="eastAsia" w:ascii="宋体" w:hAnsi="宋体" w:eastAsia="宋体" w:cs="宋体"/>
          <w:b/>
          <w:color w:val="auto"/>
          <w:sz w:val="28"/>
        </w:rPr>
        <w:t>3.授权委托书</w:t>
      </w:r>
    </w:p>
    <w:p>
      <w:pPr>
        <w:pStyle w:val="48"/>
        <w:spacing w:line="36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授权委托书</w:t>
      </w:r>
    </w:p>
    <w:p>
      <w:pPr>
        <w:adjustRightInd w:val="0"/>
        <w:snapToGrid w:val="0"/>
        <w:spacing w:line="360" w:lineRule="auto"/>
        <w:ind w:firstLine="516" w:firstLineChars="215"/>
        <w:rPr>
          <w:rFonts w:hint="eastAsia" w:ascii="宋体" w:hAnsi="宋体" w:eastAsia="宋体" w:cs="宋体"/>
          <w:color w:val="auto"/>
          <w:sz w:val="24"/>
          <w:szCs w:val="24"/>
        </w:rPr>
      </w:pPr>
    </w:p>
    <w:p>
      <w:pPr>
        <w:adjustRightInd w:val="0"/>
        <w:snapToGrid w:val="0"/>
        <w:spacing w:line="360" w:lineRule="auto"/>
        <w:ind w:firstLine="516" w:firstLineChars="215"/>
        <w:rPr>
          <w:rFonts w:hint="eastAsia" w:ascii="宋体" w:hAnsi="宋体" w:eastAsia="宋体" w:cs="宋体"/>
          <w:color w:val="auto"/>
          <w:sz w:val="24"/>
          <w:szCs w:val="24"/>
        </w:rPr>
      </w:pPr>
      <w:r>
        <w:rPr>
          <w:rFonts w:hint="eastAsia" w:ascii="宋体" w:hAnsi="宋体" w:eastAsia="宋体" w:cs="宋体"/>
          <w:color w:val="auto"/>
          <w:sz w:val="24"/>
          <w:szCs w:val="24"/>
        </w:rPr>
        <w:t>本授权委托书声明：我 ___________(姓名)系_________________（供应商名称）的法定代表人，现授权委托__________________（被授权人的姓名、职务）为本次谈判中我单位的合法代理人，全权负责参加本次项目的谈判、签订合约以及与之相关的各项工作。本供应商对被授权人的签名负全部责任。</w:t>
      </w:r>
    </w:p>
    <w:p>
      <w:pPr>
        <w:adjustRightInd w:val="0"/>
        <w:snapToGrid w:val="0"/>
        <w:spacing w:line="360" w:lineRule="auto"/>
        <w:ind w:firstLine="397"/>
        <w:rPr>
          <w:rFonts w:hint="eastAsia" w:ascii="宋体" w:hAnsi="宋体" w:eastAsia="宋体" w:cs="宋体"/>
          <w:color w:val="auto"/>
          <w:sz w:val="24"/>
          <w:szCs w:val="24"/>
        </w:rPr>
      </w:pPr>
      <w:r>
        <w:rPr>
          <w:rFonts w:hint="eastAsia" w:ascii="宋体" w:hAnsi="宋体" w:eastAsia="宋体" w:cs="宋体"/>
          <w:color w:val="auto"/>
          <w:sz w:val="24"/>
          <w:szCs w:val="24"/>
        </w:rPr>
        <w:t>本授权书于__________年_______月________日签字或盖章后生效，特此声明。</w:t>
      </w:r>
    </w:p>
    <w:p>
      <w:pPr>
        <w:adjustRightInd w:val="0"/>
        <w:snapToGrid w:val="0"/>
        <w:spacing w:line="360" w:lineRule="auto"/>
        <w:rPr>
          <w:rFonts w:hint="eastAsia" w:ascii="宋体" w:hAnsi="宋体" w:eastAsia="宋体" w:cs="宋体"/>
          <w:color w:val="auto"/>
          <w:sz w:val="24"/>
          <w:szCs w:val="24"/>
        </w:rPr>
      </w:pPr>
    </w:p>
    <w:p>
      <w:pPr>
        <w:adjustRightInd w:val="0"/>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法定代表人签字或盖章：                       日期：</w:t>
      </w:r>
    </w:p>
    <w:p>
      <w:pPr>
        <w:spacing w:line="400" w:lineRule="exact"/>
        <w:rPr>
          <w:rFonts w:hint="eastAsia" w:ascii="宋体" w:hAnsi="宋体" w:eastAsia="宋体" w:cs="宋体"/>
          <w:color w:val="auto"/>
          <w:szCs w:val="21"/>
        </w:rPr>
      </w:pPr>
      <w:r>
        <w:rPr>
          <w:rFonts w:hint="eastAsia" w:ascii="宋体" w:hAnsi="宋体" w:eastAsia="宋体" w:cs="宋体"/>
          <w:color w:val="auto"/>
          <w:szCs w:val="21"/>
        </w:rPr>
        <w:t>职务：                                       联系电话：</w:t>
      </w:r>
    </w:p>
    <w:p>
      <w:pPr>
        <w:spacing w:line="400" w:lineRule="exact"/>
        <w:rPr>
          <w:rFonts w:hint="eastAsia" w:ascii="宋体" w:hAnsi="宋体" w:eastAsia="宋体" w:cs="宋体"/>
          <w:color w:val="auto"/>
          <w:szCs w:val="21"/>
        </w:rPr>
      </w:pPr>
      <w:r>
        <w:rPr>
          <w:rFonts w:hint="eastAsia" w:ascii="宋体" w:hAnsi="宋体" w:eastAsia="宋体" w:cs="宋体"/>
          <w:color w:val="auto"/>
          <w:szCs w:val="21"/>
        </w:rPr>
        <w:t>单位名称：                                   地址：</w:t>
      </w:r>
    </w:p>
    <w:p>
      <w:pPr>
        <w:spacing w:line="400" w:lineRule="exact"/>
        <w:rPr>
          <w:rFonts w:hint="eastAsia" w:ascii="宋体" w:hAnsi="宋体" w:eastAsia="宋体" w:cs="宋体"/>
          <w:color w:val="auto"/>
          <w:szCs w:val="21"/>
        </w:rPr>
      </w:pPr>
      <w:r>
        <w:rPr>
          <w:rFonts w:hint="eastAsia" w:ascii="宋体" w:hAnsi="宋体" w:eastAsia="宋体" w:cs="宋体"/>
          <w:color w:val="auto"/>
          <w:szCs w:val="21"/>
        </w:rPr>
        <w:t>身份证号码：</w:t>
      </w:r>
    </w:p>
    <w:p>
      <w:pPr>
        <w:spacing w:line="400" w:lineRule="exact"/>
        <w:rPr>
          <w:rFonts w:hint="eastAsia" w:ascii="宋体" w:hAnsi="宋体" w:eastAsia="宋体" w:cs="宋体"/>
          <w:color w:val="auto"/>
          <w:szCs w:val="21"/>
        </w:rPr>
      </w:pPr>
    </w:p>
    <w:p>
      <w:pPr>
        <w:spacing w:line="400" w:lineRule="exact"/>
        <w:rPr>
          <w:rFonts w:hint="eastAsia" w:ascii="宋体" w:hAnsi="宋体" w:eastAsia="宋体" w:cs="宋体"/>
          <w:color w:val="auto"/>
          <w:szCs w:val="21"/>
        </w:rPr>
      </w:pPr>
      <w:r>
        <w:rPr>
          <w:rFonts w:hint="eastAsia" w:ascii="宋体" w:hAnsi="宋体" w:eastAsia="宋体" w:cs="宋体"/>
          <w:color w:val="auto"/>
          <w:szCs w:val="21"/>
        </w:rPr>
        <w:t>委托代理人（被授权人）签字或盖章：           日期：</w:t>
      </w:r>
    </w:p>
    <w:p>
      <w:pPr>
        <w:spacing w:line="400" w:lineRule="exact"/>
        <w:rPr>
          <w:rFonts w:hint="eastAsia" w:ascii="宋体" w:hAnsi="宋体" w:eastAsia="宋体" w:cs="宋体"/>
          <w:color w:val="auto"/>
          <w:szCs w:val="21"/>
        </w:rPr>
      </w:pPr>
      <w:r>
        <w:rPr>
          <w:rFonts w:hint="eastAsia" w:ascii="宋体" w:hAnsi="宋体" w:eastAsia="宋体" w:cs="宋体"/>
          <w:color w:val="auto"/>
          <w:szCs w:val="21"/>
        </w:rPr>
        <w:t>职务：                                       联系电话：</w:t>
      </w:r>
    </w:p>
    <w:p>
      <w:pPr>
        <w:spacing w:line="400" w:lineRule="exact"/>
        <w:rPr>
          <w:rFonts w:hint="eastAsia" w:ascii="宋体" w:hAnsi="宋体" w:eastAsia="宋体" w:cs="宋体"/>
          <w:color w:val="auto"/>
          <w:szCs w:val="21"/>
        </w:rPr>
      </w:pPr>
      <w:r>
        <w:rPr>
          <w:rFonts w:hint="eastAsia" w:ascii="宋体" w:hAnsi="宋体" w:eastAsia="宋体" w:cs="宋体"/>
          <w:color w:val="auto"/>
          <w:szCs w:val="21"/>
        </w:rPr>
        <w:t>单位名称：                                   地址：</w:t>
      </w:r>
    </w:p>
    <w:p>
      <w:pPr>
        <w:spacing w:line="400" w:lineRule="exact"/>
        <w:rPr>
          <w:rFonts w:hint="eastAsia" w:ascii="宋体" w:hAnsi="宋体" w:eastAsia="宋体" w:cs="宋体"/>
          <w:color w:val="auto"/>
          <w:szCs w:val="21"/>
        </w:rPr>
      </w:pPr>
      <w:r>
        <w:rPr>
          <w:rFonts w:hint="eastAsia" w:ascii="宋体" w:hAnsi="宋体" w:eastAsia="宋体" w:cs="宋体"/>
          <w:color w:val="auto"/>
          <w:szCs w:val="21"/>
        </w:rPr>
        <w:t>身份证号码：</w:t>
      </w:r>
    </w:p>
    <w:p>
      <w:pPr>
        <w:spacing w:line="400" w:lineRule="exact"/>
        <w:rPr>
          <w:rFonts w:hint="eastAsia" w:ascii="宋体" w:hAnsi="宋体" w:eastAsia="宋体" w:cs="宋体"/>
          <w:color w:val="auto"/>
          <w:szCs w:val="21"/>
        </w:rPr>
      </w:pPr>
    </w:p>
    <w:p>
      <w:pPr>
        <w:spacing w:line="400" w:lineRule="exact"/>
        <w:rPr>
          <w:rFonts w:hint="eastAsia" w:ascii="宋体" w:hAnsi="宋体" w:eastAsia="宋体" w:cs="宋体"/>
          <w:color w:val="auto"/>
          <w:szCs w:val="21"/>
        </w:rPr>
      </w:pPr>
      <w:r>
        <w:rPr>
          <w:rFonts w:hint="eastAsia" w:ascii="宋体" w:hAnsi="宋体" w:eastAsia="宋体" w:cs="宋体"/>
          <w:color w:val="auto"/>
          <w:szCs w:val="21"/>
        </w:rPr>
        <w:t xml:space="preserve">供应商公章： </w:t>
      </w:r>
    </w:p>
    <w:p>
      <w:pPr>
        <w:spacing w:line="400" w:lineRule="exact"/>
        <w:rPr>
          <w:rFonts w:hint="eastAsia" w:ascii="宋体" w:hAnsi="宋体" w:eastAsia="宋体" w:cs="宋体"/>
          <w:color w:val="auto"/>
          <w:szCs w:val="21"/>
        </w:rPr>
      </w:pPr>
      <w:r>
        <w:rPr>
          <w:rFonts w:hint="eastAsia" w:ascii="宋体" w:hAnsi="宋体" w:eastAsia="宋体" w:cs="宋体"/>
          <w:color w:val="auto"/>
          <w:szCs w:val="21"/>
        </w:rPr>
        <w:t>地址：                                       电话：</w:t>
      </w:r>
    </w:p>
    <w:p>
      <w:pPr>
        <w:spacing w:line="400" w:lineRule="exact"/>
        <w:rPr>
          <w:rFonts w:hint="eastAsia" w:ascii="宋体" w:hAnsi="宋体" w:eastAsia="宋体" w:cs="宋体"/>
          <w:color w:val="auto"/>
          <w:szCs w:val="21"/>
        </w:rPr>
      </w:pPr>
      <w:r>
        <w:rPr>
          <w:rFonts w:hint="eastAsia" w:ascii="宋体" w:hAnsi="宋体" w:eastAsia="宋体" w:cs="宋体"/>
          <w:color w:val="auto"/>
          <w:szCs w:val="21"/>
        </w:rPr>
        <w:t>传真：                                       邮编：</w:t>
      </w:r>
    </w:p>
    <w:p>
      <w:pPr>
        <w:spacing w:line="400" w:lineRule="exact"/>
        <w:rPr>
          <w:rFonts w:hint="eastAsia" w:ascii="宋体" w:hAnsi="宋体" w:eastAsia="宋体" w:cs="宋体"/>
          <w:color w:val="auto"/>
          <w:szCs w:val="21"/>
        </w:rPr>
      </w:pPr>
      <w:r>
        <w:rPr>
          <w:rFonts w:hint="eastAsia" w:ascii="宋体" w:hAnsi="宋体" w:eastAsia="宋体" w:cs="宋体"/>
          <w:color w:val="auto"/>
          <w:szCs w:val="21"/>
        </w:rPr>
        <w:t>开户行：</w:t>
      </w:r>
    </w:p>
    <w:p>
      <w:pPr>
        <w:spacing w:line="400" w:lineRule="exact"/>
        <w:rPr>
          <w:rFonts w:hint="eastAsia" w:ascii="宋体" w:hAnsi="宋体" w:eastAsia="宋体" w:cs="宋体"/>
          <w:color w:val="auto"/>
          <w:szCs w:val="21"/>
        </w:rPr>
      </w:pPr>
      <w:r>
        <w:rPr>
          <w:rFonts w:hint="eastAsia" w:ascii="宋体" w:hAnsi="宋体" w:eastAsia="宋体" w:cs="宋体"/>
          <w:color w:val="auto"/>
          <w:szCs w:val="21"/>
        </w:rPr>
        <w:t>账号：</w:t>
      </w:r>
    </w:p>
    <w:p>
      <w:pPr>
        <w:spacing w:line="400" w:lineRule="exact"/>
        <w:rPr>
          <w:rFonts w:hint="eastAsia" w:ascii="宋体" w:hAnsi="宋体" w:eastAsia="宋体" w:cs="宋体"/>
          <w:color w:val="auto"/>
          <w:szCs w:val="21"/>
        </w:rPr>
      </w:pPr>
    </w:p>
    <w:p>
      <w:pPr>
        <w:spacing w:line="400" w:lineRule="exact"/>
        <w:rPr>
          <w:rFonts w:hint="eastAsia" w:ascii="宋体" w:hAnsi="宋体" w:eastAsia="宋体" w:cs="宋体"/>
          <w:color w:val="auto"/>
          <w:szCs w:val="21"/>
        </w:rPr>
      </w:pPr>
      <w:r>
        <w:rPr>
          <w:rFonts w:hint="eastAsia" w:ascii="宋体" w:hAnsi="宋体" w:eastAsia="宋体" w:cs="宋体"/>
          <w:color w:val="auto"/>
          <w:szCs w:val="21"/>
        </w:rPr>
        <w:t>代理人身份证</w:t>
      </w:r>
    </w:p>
    <w:p>
      <w:pPr>
        <w:spacing w:line="360" w:lineRule="auto"/>
        <w:rPr>
          <w:rFonts w:hint="eastAsia" w:ascii="宋体" w:hAnsi="宋体" w:eastAsia="宋体" w:cs="宋体"/>
          <w:color w:val="auto"/>
          <w:sz w:val="24"/>
          <w:szCs w:val="24"/>
        </w:rPr>
      </w:pPr>
      <w:r>
        <w:rPr>
          <w:rFonts w:hint="eastAsia" w:ascii="宋体" w:hAnsi="宋体" w:eastAsia="宋体" w:cs="宋体"/>
          <w:color w:val="auto"/>
          <w:szCs w:val="21"/>
        </w:rPr>
        <w:t>（双面复印件）粘贴处</w:t>
      </w:r>
    </w:p>
    <w:p>
      <w:pPr>
        <w:spacing w:line="360" w:lineRule="auto"/>
        <w:rPr>
          <w:rFonts w:hint="eastAsia" w:ascii="宋体" w:hAnsi="宋体" w:eastAsia="宋体" w:cs="宋体"/>
          <w:color w:val="auto"/>
          <w:szCs w:val="21"/>
        </w:rPr>
      </w:pP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备注：</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1、法定代表人参加谈判时，需携带本人身份证原件。</w:t>
      </w:r>
    </w:p>
    <w:p>
      <w:pPr>
        <w:rPr>
          <w:rFonts w:hint="eastAsia" w:ascii="宋体" w:hAnsi="宋体" w:eastAsia="宋体" w:cs="宋体"/>
          <w:color w:val="auto"/>
          <w:szCs w:val="21"/>
        </w:rPr>
      </w:pPr>
      <w:r>
        <w:rPr>
          <w:rFonts w:hint="eastAsia" w:ascii="宋体" w:hAnsi="宋体" w:eastAsia="宋体" w:cs="宋体"/>
          <w:color w:val="auto"/>
          <w:szCs w:val="21"/>
        </w:rPr>
        <w:t>2、委托代理人参加谈判时，需携带授权委托书和本人身份证原件。</w:t>
      </w:r>
    </w:p>
    <w:p>
      <w:pPr>
        <w:rPr>
          <w:rFonts w:hint="eastAsia" w:ascii="宋体" w:hAnsi="宋体" w:eastAsia="宋体" w:cs="宋体"/>
          <w:b/>
          <w:color w:val="auto"/>
          <w:sz w:val="28"/>
          <w:szCs w:val="28"/>
        </w:rPr>
      </w:pPr>
      <w:r>
        <w:rPr>
          <w:rFonts w:hint="eastAsia" w:ascii="宋体" w:hAnsi="宋体" w:eastAsia="宋体" w:cs="宋体"/>
          <w:b/>
          <w:color w:val="auto"/>
          <w:sz w:val="28"/>
          <w:szCs w:val="28"/>
        </w:rPr>
        <w:t>4.报价一览表</w:t>
      </w:r>
    </w:p>
    <w:p>
      <w:pPr>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报价一览表</w:t>
      </w:r>
    </w:p>
    <w:p>
      <w:pPr>
        <w:spacing w:line="500" w:lineRule="exact"/>
        <w:rPr>
          <w:rFonts w:hint="eastAsia" w:ascii="宋体" w:hAnsi="宋体" w:eastAsia="宋体" w:cs="宋体"/>
          <w:b/>
          <w:color w:val="auto"/>
          <w:kern w:val="0"/>
          <w:szCs w:val="21"/>
        </w:rPr>
      </w:pPr>
      <w:r>
        <w:rPr>
          <w:rFonts w:hint="eastAsia" w:ascii="宋体" w:hAnsi="宋体" w:eastAsia="宋体" w:cs="宋体"/>
          <w:b/>
          <w:color w:val="auto"/>
          <w:kern w:val="0"/>
          <w:sz w:val="24"/>
          <w:szCs w:val="24"/>
        </w:rPr>
        <w:t xml:space="preserve">                                         </w:t>
      </w:r>
      <w:r>
        <w:rPr>
          <w:rFonts w:hint="eastAsia" w:ascii="宋体" w:hAnsi="宋体" w:eastAsia="宋体" w:cs="宋体"/>
          <w:b/>
          <w:color w:val="auto"/>
          <w:kern w:val="0"/>
          <w:szCs w:val="21"/>
        </w:rPr>
        <w:t xml:space="preserve">       单位：人民币</w:t>
      </w:r>
    </w:p>
    <w:tbl>
      <w:tblPr>
        <w:tblStyle w:val="2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6662" w:type="dxa"/>
            <w:vAlign w:val="center"/>
          </w:tcPr>
          <w:p>
            <w:pPr>
              <w:widowControl/>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项目编号</w:t>
            </w:r>
          </w:p>
        </w:tc>
        <w:tc>
          <w:tcPr>
            <w:tcW w:w="6662" w:type="dxa"/>
            <w:vAlign w:val="center"/>
          </w:tcPr>
          <w:p>
            <w:pPr>
              <w:widowControl/>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093"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项目总价</w:t>
            </w:r>
          </w:p>
        </w:tc>
        <w:tc>
          <w:tcPr>
            <w:tcW w:w="6662" w:type="dxa"/>
            <w:vAlign w:val="center"/>
          </w:tcPr>
          <w:p>
            <w:pPr>
              <w:widowControl/>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093"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质保期</w:t>
            </w:r>
          </w:p>
        </w:tc>
        <w:tc>
          <w:tcPr>
            <w:tcW w:w="6662" w:type="dxa"/>
            <w:vAlign w:val="center"/>
          </w:tcPr>
          <w:p>
            <w:pPr>
              <w:widowControl/>
              <w:jc w:val="center"/>
              <w:rPr>
                <w:rFonts w:hint="eastAsia" w:ascii="宋体" w:hAnsi="宋体" w:eastAsia="宋体" w:cs="宋体"/>
                <w:color w:val="auto"/>
                <w:szCs w:val="21"/>
              </w:rPr>
            </w:pPr>
            <w:r>
              <w:rPr>
                <w:rFonts w:hint="eastAsia" w:ascii="宋体" w:hAnsi="宋体" w:eastAsia="宋体" w:cs="宋体"/>
                <w:color w:val="auto"/>
                <w:szCs w:val="21"/>
              </w:rPr>
              <w:t>年</w:t>
            </w:r>
          </w:p>
        </w:tc>
      </w:tr>
    </w:tbl>
    <w:p>
      <w:pPr>
        <w:spacing w:line="360" w:lineRule="exact"/>
        <w:rPr>
          <w:rFonts w:hint="eastAsia" w:ascii="宋体" w:hAnsi="宋体" w:eastAsia="宋体" w:cs="宋体"/>
          <w:color w:val="auto"/>
          <w:szCs w:val="21"/>
        </w:rPr>
      </w:pPr>
      <w:r>
        <w:rPr>
          <w:rFonts w:hint="eastAsia" w:ascii="宋体" w:hAnsi="宋体" w:eastAsia="宋体" w:cs="宋体"/>
          <w:color w:val="auto"/>
          <w:szCs w:val="21"/>
        </w:rPr>
        <w:t>供应商名称（公章）：</w:t>
      </w:r>
    </w:p>
    <w:p>
      <w:pPr>
        <w:spacing w:line="360" w:lineRule="exact"/>
        <w:rPr>
          <w:rFonts w:hint="eastAsia" w:ascii="宋体" w:hAnsi="宋体" w:eastAsia="宋体" w:cs="宋体"/>
          <w:color w:val="auto"/>
          <w:szCs w:val="21"/>
        </w:rPr>
      </w:pPr>
      <w:r>
        <w:rPr>
          <w:rFonts w:hint="eastAsia" w:ascii="宋体" w:hAnsi="宋体" w:eastAsia="宋体" w:cs="宋体"/>
          <w:color w:val="auto"/>
          <w:szCs w:val="21"/>
        </w:rPr>
        <w:t>法定代表人或代理人（签字或盖章）：</w:t>
      </w:r>
    </w:p>
    <w:p>
      <w:pPr>
        <w:spacing w:line="360" w:lineRule="exact"/>
        <w:rPr>
          <w:rFonts w:hint="eastAsia" w:ascii="宋体" w:hAnsi="宋体" w:eastAsia="宋体" w:cs="宋体"/>
          <w:color w:val="auto"/>
          <w:szCs w:val="21"/>
        </w:rPr>
      </w:pPr>
      <w:r>
        <w:rPr>
          <w:rFonts w:hint="eastAsia" w:ascii="宋体" w:hAnsi="宋体" w:eastAsia="宋体" w:cs="宋体"/>
          <w:color w:val="auto"/>
          <w:szCs w:val="21"/>
        </w:rPr>
        <w:t>日期：      年  月   日</w:t>
      </w:r>
    </w:p>
    <w:p>
      <w:pPr>
        <w:rPr>
          <w:rFonts w:hint="eastAsia" w:ascii="宋体" w:hAnsi="宋体" w:eastAsia="宋体" w:cs="宋体"/>
          <w:color w:val="auto"/>
          <w:sz w:val="24"/>
        </w:rPr>
      </w:pPr>
    </w:p>
    <w:p>
      <w:pPr>
        <w:spacing w:line="280" w:lineRule="exact"/>
        <w:ind w:right="420"/>
        <w:rPr>
          <w:rFonts w:hint="eastAsia" w:ascii="宋体" w:hAnsi="宋体" w:eastAsia="宋体" w:cs="宋体"/>
          <w:color w:val="auto"/>
          <w:szCs w:val="21"/>
        </w:rPr>
      </w:pPr>
    </w:p>
    <w:p>
      <w:pPr>
        <w:rPr>
          <w:rFonts w:hint="eastAsia" w:ascii="宋体" w:hAnsi="宋体" w:eastAsia="宋体" w:cs="宋体"/>
          <w:b/>
          <w:color w:val="auto"/>
          <w:sz w:val="28"/>
          <w:szCs w:val="28"/>
        </w:rPr>
      </w:pPr>
      <w:r>
        <w:rPr>
          <w:rFonts w:hint="eastAsia" w:ascii="宋体" w:hAnsi="宋体" w:eastAsia="宋体" w:cs="宋体"/>
          <w:b/>
          <w:color w:val="auto"/>
          <w:sz w:val="28"/>
          <w:szCs w:val="28"/>
        </w:rPr>
        <w:t>5.谈判分项报价表</w:t>
      </w:r>
    </w:p>
    <w:p>
      <w:pPr>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谈判分项报价表</w:t>
      </w:r>
    </w:p>
    <w:p>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项目编号：</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934"/>
        <w:gridCol w:w="780"/>
        <w:gridCol w:w="1117"/>
        <w:gridCol w:w="1799"/>
        <w:gridCol w:w="613"/>
        <w:gridCol w:w="618"/>
        <w:gridCol w:w="919"/>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0" w:type="dxa"/>
            <w:vMerge w:val="restart"/>
            <w:vAlign w:val="center"/>
          </w:tcPr>
          <w:p>
            <w:pPr>
              <w:widowControl/>
              <w:snapToGri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序号</w:t>
            </w:r>
          </w:p>
        </w:tc>
        <w:tc>
          <w:tcPr>
            <w:tcW w:w="934" w:type="dxa"/>
            <w:vMerge w:val="restart"/>
            <w:vAlign w:val="center"/>
          </w:tcPr>
          <w:p>
            <w:pPr>
              <w:widowControl/>
              <w:snapToGri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设备</w:t>
            </w:r>
          </w:p>
          <w:p>
            <w:pPr>
              <w:widowControl/>
              <w:snapToGri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名称</w:t>
            </w:r>
          </w:p>
        </w:tc>
        <w:tc>
          <w:tcPr>
            <w:tcW w:w="780" w:type="dxa"/>
            <w:vMerge w:val="restart"/>
            <w:vAlign w:val="center"/>
          </w:tcPr>
          <w:p>
            <w:pPr>
              <w:widowControl/>
              <w:snapToGri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品牌</w:t>
            </w:r>
          </w:p>
        </w:tc>
        <w:tc>
          <w:tcPr>
            <w:tcW w:w="1117" w:type="dxa"/>
            <w:vMerge w:val="restart"/>
            <w:vAlign w:val="center"/>
          </w:tcPr>
          <w:p>
            <w:pPr>
              <w:widowControl/>
              <w:snapToGri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规格型号</w:t>
            </w:r>
          </w:p>
        </w:tc>
        <w:tc>
          <w:tcPr>
            <w:tcW w:w="1799" w:type="dxa"/>
            <w:vMerge w:val="restart"/>
            <w:vAlign w:val="center"/>
          </w:tcPr>
          <w:p>
            <w:pPr>
              <w:widowControl/>
              <w:snapToGri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技术参数</w:t>
            </w:r>
          </w:p>
        </w:tc>
        <w:tc>
          <w:tcPr>
            <w:tcW w:w="613" w:type="dxa"/>
            <w:vMerge w:val="restart"/>
            <w:vAlign w:val="center"/>
          </w:tcPr>
          <w:p>
            <w:pPr>
              <w:widowControl/>
              <w:snapToGri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数量</w:t>
            </w:r>
          </w:p>
        </w:tc>
        <w:tc>
          <w:tcPr>
            <w:tcW w:w="618" w:type="dxa"/>
            <w:vMerge w:val="restart"/>
            <w:vAlign w:val="center"/>
          </w:tcPr>
          <w:p>
            <w:pPr>
              <w:widowControl/>
              <w:snapToGri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单位</w:t>
            </w:r>
          </w:p>
        </w:tc>
        <w:tc>
          <w:tcPr>
            <w:tcW w:w="1991" w:type="dxa"/>
            <w:gridSpan w:val="2"/>
            <w:vAlign w:val="center"/>
          </w:tcPr>
          <w:p>
            <w:pPr>
              <w:widowControl/>
              <w:snapToGri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供应商民币价格（元）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0" w:type="dxa"/>
            <w:vMerge w:val="continue"/>
            <w:vAlign w:val="center"/>
          </w:tcPr>
          <w:p>
            <w:pPr>
              <w:widowControl/>
              <w:snapToGrid w:val="0"/>
              <w:spacing w:line="360" w:lineRule="auto"/>
              <w:jc w:val="center"/>
              <w:rPr>
                <w:rFonts w:hint="eastAsia" w:ascii="宋体" w:hAnsi="宋体" w:eastAsia="宋体" w:cs="宋体"/>
                <w:color w:val="auto"/>
                <w:kern w:val="0"/>
                <w:szCs w:val="21"/>
              </w:rPr>
            </w:pPr>
          </w:p>
        </w:tc>
        <w:tc>
          <w:tcPr>
            <w:tcW w:w="934" w:type="dxa"/>
            <w:vMerge w:val="continue"/>
            <w:vAlign w:val="center"/>
          </w:tcPr>
          <w:p>
            <w:pPr>
              <w:widowControl/>
              <w:snapToGrid w:val="0"/>
              <w:spacing w:line="360" w:lineRule="auto"/>
              <w:jc w:val="center"/>
              <w:rPr>
                <w:rFonts w:hint="eastAsia" w:ascii="宋体" w:hAnsi="宋体" w:eastAsia="宋体" w:cs="宋体"/>
                <w:color w:val="auto"/>
                <w:kern w:val="0"/>
                <w:szCs w:val="21"/>
              </w:rPr>
            </w:pPr>
          </w:p>
        </w:tc>
        <w:tc>
          <w:tcPr>
            <w:tcW w:w="780" w:type="dxa"/>
            <w:vMerge w:val="continue"/>
            <w:vAlign w:val="center"/>
          </w:tcPr>
          <w:p>
            <w:pPr>
              <w:widowControl/>
              <w:snapToGrid w:val="0"/>
              <w:spacing w:line="360" w:lineRule="auto"/>
              <w:jc w:val="center"/>
              <w:rPr>
                <w:rFonts w:hint="eastAsia" w:ascii="宋体" w:hAnsi="宋体" w:eastAsia="宋体" w:cs="宋体"/>
                <w:color w:val="auto"/>
                <w:kern w:val="0"/>
                <w:szCs w:val="21"/>
              </w:rPr>
            </w:pPr>
          </w:p>
        </w:tc>
        <w:tc>
          <w:tcPr>
            <w:tcW w:w="1117" w:type="dxa"/>
            <w:vMerge w:val="continue"/>
            <w:vAlign w:val="center"/>
          </w:tcPr>
          <w:p>
            <w:pPr>
              <w:widowControl/>
              <w:snapToGrid w:val="0"/>
              <w:spacing w:line="360" w:lineRule="auto"/>
              <w:jc w:val="center"/>
              <w:rPr>
                <w:rFonts w:hint="eastAsia" w:ascii="宋体" w:hAnsi="宋体" w:eastAsia="宋体" w:cs="宋体"/>
                <w:color w:val="auto"/>
                <w:kern w:val="0"/>
                <w:szCs w:val="21"/>
              </w:rPr>
            </w:pPr>
          </w:p>
        </w:tc>
        <w:tc>
          <w:tcPr>
            <w:tcW w:w="1799" w:type="dxa"/>
            <w:vMerge w:val="continue"/>
            <w:vAlign w:val="center"/>
          </w:tcPr>
          <w:p>
            <w:pPr>
              <w:widowControl/>
              <w:snapToGrid w:val="0"/>
              <w:spacing w:line="360" w:lineRule="auto"/>
              <w:jc w:val="center"/>
              <w:rPr>
                <w:rFonts w:hint="eastAsia" w:ascii="宋体" w:hAnsi="宋体" w:eastAsia="宋体" w:cs="宋体"/>
                <w:color w:val="auto"/>
                <w:kern w:val="0"/>
                <w:szCs w:val="21"/>
              </w:rPr>
            </w:pPr>
          </w:p>
        </w:tc>
        <w:tc>
          <w:tcPr>
            <w:tcW w:w="613" w:type="dxa"/>
            <w:vMerge w:val="continue"/>
            <w:vAlign w:val="center"/>
          </w:tcPr>
          <w:p>
            <w:pPr>
              <w:widowControl/>
              <w:snapToGrid w:val="0"/>
              <w:spacing w:line="360" w:lineRule="auto"/>
              <w:jc w:val="center"/>
              <w:rPr>
                <w:rFonts w:hint="eastAsia" w:ascii="宋体" w:hAnsi="宋体" w:eastAsia="宋体" w:cs="宋体"/>
                <w:color w:val="auto"/>
                <w:kern w:val="0"/>
                <w:szCs w:val="21"/>
              </w:rPr>
            </w:pPr>
          </w:p>
        </w:tc>
        <w:tc>
          <w:tcPr>
            <w:tcW w:w="618" w:type="dxa"/>
            <w:vMerge w:val="continue"/>
            <w:vAlign w:val="center"/>
          </w:tcPr>
          <w:p>
            <w:pPr>
              <w:widowControl/>
              <w:snapToGrid w:val="0"/>
              <w:spacing w:line="360" w:lineRule="auto"/>
              <w:jc w:val="center"/>
              <w:rPr>
                <w:rFonts w:hint="eastAsia" w:ascii="宋体" w:hAnsi="宋体" w:eastAsia="宋体" w:cs="宋体"/>
                <w:color w:val="auto"/>
                <w:kern w:val="0"/>
                <w:szCs w:val="21"/>
              </w:rPr>
            </w:pPr>
          </w:p>
        </w:tc>
        <w:tc>
          <w:tcPr>
            <w:tcW w:w="919" w:type="dxa"/>
            <w:vAlign w:val="center"/>
          </w:tcPr>
          <w:p>
            <w:pPr>
              <w:widowControl/>
              <w:snapToGri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单价</w:t>
            </w:r>
          </w:p>
        </w:tc>
        <w:tc>
          <w:tcPr>
            <w:tcW w:w="1072" w:type="dxa"/>
            <w:vAlign w:val="center"/>
          </w:tcPr>
          <w:p>
            <w:pPr>
              <w:widowControl/>
              <w:snapToGri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1</w:t>
            </w:r>
          </w:p>
        </w:tc>
        <w:tc>
          <w:tcPr>
            <w:tcW w:w="934" w:type="dxa"/>
            <w:vAlign w:val="center"/>
          </w:tcPr>
          <w:p>
            <w:pPr>
              <w:widowControl/>
              <w:snapToGrid w:val="0"/>
              <w:spacing w:line="360" w:lineRule="auto"/>
              <w:jc w:val="center"/>
              <w:rPr>
                <w:rFonts w:hint="eastAsia" w:ascii="宋体" w:hAnsi="宋体" w:eastAsia="宋体" w:cs="宋体"/>
                <w:b/>
                <w:bCs/>
                <w:color w:val="auto"/>
                <w:kern w:val="0"/>
                <w:szCs w:val="21"/>
              </w:rPr>
            </w:pPr>
          </w:p>
        </w:tc>
        <w:tc>
          <w:tcPr>
            <w:tcW w:w="780" w:type="dxa"/>
            <w:vAlign w:val="center"/>
          </w:tcPr>
          <w:p>
            <w:pPr>
              <w:widowControl/>
              <w:snapToGrid w:val="0"/>
              <w:spacing w:line="360" w:lineRule="auto"/>
              <w:jc w:val="center"/>
              <w:rPr>
                <w:rFonts w:hint="eastAsia" w:ascii="宋体" w:hAnsi="宋体" w:eastAsia="宋体" w:cs="宋体"/>
                <w:color w:val="auto"/>
                <w:kern w:val="0"/>
                <w:szCs w:val="21"/>
              </w:rPr>
            </w:pPr>
          </w:p>
        </w:tc>
        <w:tc>
          <w:tcPr>
            <w:tcW w:w="1117" w:type="dxa"/>
            <w:vAlign w:val="center"/>
          </w:tcPr>
          <w:p>
            <w:pPr>
              <w:widowControl/>
              <w:snapToGrid w:val="0"/>
              <w:spacing w:line="360" w:lineRule="auto"/>
              <w:jc w:val="center"/>
              <w:rPr>
                <w:rFonts w:hint="eastAsia" w:ascii="宋体" w:hAnsi="宋体" w:eastAsia="宋体" w:cs="宋体"/>
                <w:color w:val="auto"/>
                <w:kern w:val="0"/>
                <w:szCs w:val="21"/>
              </w:rPr>
            </w:pPr>
          </w:p>
        </w:tc>
        <w:tc>
          <w:tcPr>
            <w:tcW w:w="1799" w:type="dxa"/>
            <w:vAlign w:val="center"/>
          </w:tcPr>
          <w:p>
            <w:pPr>
              <w:widowControl/>
              <w:snapToGrid w:val="0"/>
              <w:spacing w:line="360" w:lineRule="auto"/>
              <w:jc w:val="center"/>
              <w:rPr>
                <w:rFonts w:hint="eastAsia" w:ascii="宋体" w:hAnsi="宋体" w:eastAsia="宋体" w:cs="宋体"/>
                <w:color w:val="auto"/>
                <w:kern w:val="0"/>
                <w:szCs w:val="21"/>
              </w:rPr>
            </w:pPr>
          </w:p>
        </w:tc>
        <w:tc>
          <w:tcPr>
            <w:tcW w:w="613" w:type="dxa"/>
            <w:vAlign w:val="center"/>
          </w:tcPr>
          <w:p>
            <w:pPr>
              <w:widowControl/>
              <w:snapToGrid w:val="0"/>
              <w:spacing w:line="360" w:lineRule="auto"/>
              <w:jc w:val="center"/>
              <w:rPr>
                <w:rFonts w:hint="eastAsia" w:ascii="宋体" w:hAnsi="宋体" w:eastAsia="宋体" w:cs="宋体"/>
                <w:color w:val="auto"/>
                <w:kern w:val="0"/>
                <w:szCs w:val="21"/>
              </w:rPr>
            </w:pPr>
          </w:p>
        </w:tc>
        <w:tc>
          <w:tcPr>
            <w:tcW w:w="618" w:type="dxa"/>
            <w:vAlign w:val="center"/>
          </w:tcPr>
          <w:p>
            <w:pPr>
              <w:widowControl/>
              <w:snapToGrid w:val="0"/>
              <w:spacing w:line="360" w:lineRule="auto"/>
              <w:jc w:val="center"/>
              <w:rPr>
                <w:rFonts w:hint="eastAsia" w:ascii="宋体" w:hAnsi="宋体" w:eastAsia="宋体" w:cs="宋体"/>
                <w:color w:val="auto"/>
                <w:kern w:val="0"/>
                <w:szCs w:val="21"/>
              </w:rPr>
            </w:pPr>
          </w:p>
        </w:tc>
        <w:tc>
          <w:tcPr>
            <w:tcW w:w="919" w:type="dxa"/>
            <w:vAlign w:val="center"/>
          </w:tcPr>
          <w:p>
            <w:pPr>
              <w:widowControl/>
              <w:snapToGrid w:val="0"/>
              <w:spacing w:line="360" w:lineRule="auto"/>
              <w:jc w:val="center"/>
              <w:rPr>
                <w:rFonts w:hint="eastAsia" w:ascii="宋体" w:hAnsi="宋体" w:eastAsia="宋体" w:cs="宋体"/>
                <w:color w:val="auto"/>
                <w:kern w:val="0"/>
                <w:szCs w:val="21"/>
              </w:rPr>
            </w:pPr>
          </w:p>
        </w:tc>
        <w:tc>
          <w:tcPr>
            <w:tcW w:w="1072" w:type="dxa"/>
            <w:vAlign w:val="center"/>
          </w:tcPr>
          <w:p>
            <w:pPr>
              <w:widowControl/>
              <w:snapToGrid w:val="0"/>
              <w:spacing w:line="360" w:lineRule="auto"/>
              <w:jc w:val="center"/>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2</w:t>
            </w:r>
          </w:p>
        </w:tc>
        <w:tc>
          <w:tcPr>
            <w:tcW w:w="934" w:type="dxa"/>
            <w:vAlign w:val="center"/>
          </w:tcPr>
          <w:p>
            <w:pPr>
              <w:widowControl/>
              <w:snapToGrid w:val="0"/>
              <w:spacing w:line="360" w:lineRule="auto"/>
              <w:jc w:val="center"/>
              <w:rPr>
                <w:rFonts w:hint="eastAsia" w:ascii="宋体" w:hAnsi="宋体" w:eastAsia="宋体" w:cs="宋体"/>
                <w:b/>
                <w:bCs/>
                <w:color w:val="auto"/>
                <w:kern w:val="0"/>
                <w:szCs w:val="21"/>
              </w:rPr>
            </w:pPr>
          </w:p>
        </w:tc>
        <w:tc>
          <w:tcPr>
            <w:tcW w:w="780" w:type="dxa"/>
            <w:vAlign w:val="center"/>
          </w:tcPr>
          <w:p>
            <w:pPr>
              <w:widowControl/>
              <w:snapToGrid w:val="0"/>
              <w:spacing w:line="360" w:lineRule="auto"/>
              <w:jc w:val="center"/>
              <w:rPr>
                <w:rFonts w:hint="eastAsia" w:ascii="宋体" w:hAnsi="宋体" w:eastAsia="宋体" w:cs="宋体"/>
                <w:color w:val="auto"/>
                <w:kern w:val="0"/>
                <w:szCs w:val="21"/>
              </w:rPr>
            </w:pPr>
          </w:p>
        </w:tc>
        <w:tc>
          <w:tcPr>
            <w:tcW w:w="1117" w:type="dxa"/>
            <w:vAlign w:val="center"/>
          </w:tcPr>
          <w:p>
            <w:pPr>
              <w:widowControl/>
              <w:snapToGrid w:val="0"/>
              <w:spacing w:line="360" w:lineRule="auto"/>
              <w:jc w:val="center"/>
              <w:rPr>
                <w:rFonts w:hint="eastAsia" w:ascii="宋体" w:hAnsi="宋体" w:eastAsia="宋体" w:cs="宋体"/>
                <w:color w:val="auto"/>
                <w:kern w:val="0"/>
                <w:szCs w:val="21"/>
              </w:rPr>
            </w:pPr>
          </w:p>
        </w:tc>
        <w:tc>
          <w:tcPr>
            <w:tcW w:w="1799" w:type="dxa"/>
            <w:vAlign w:val="center"/>
          </w:tcPr>
          <w:p>
            <w:pPr>
              <w:widowControl/>
              <w:snapToGrid w:val="0"/>
              <w:spacing w:line="360" w:lineRule="auto"/>
              <w:jc w:val="center"/>
              <w:rPr>
                <w:rFonts w:hint="eastAsia" w:ascii="宋体" w:hAnsi="宋体" w:eastAsia="宋体" w:cs="宋体"/>
                <w:color w:val="auto"/>
                <w:kern w:val="0"/>
                <w:szCs w:val="21"/>
              </w:rPr>
            </w:pPr>
          </w:p>
        </w:tc>
        <w:tc>
          <w:tcPr>
            <w:tcW w:w="613" w:type="dxa"/>
            <w:vAlign w:val="center"/>
          </w:tcPr>
          <w:p>
            <w:pPr>
              <w:widowControl/>
              <w:snapToGrid w:val="0"/>
              <w:spacing w:line="360" w:lineRule="auto"/>
              <w:jc w:val="center"/>
              <w:rPr>
                <w:rFonts w:hint="eastAsia" w:ascii="宋体" w:hAnsi="宋体" w:eastAsia="宋体" w:cs="宋体"/>
                <w:color w:val="auto"/>
                <w:kern w:val="0"/>
                <w:szCs w:val="21"/>
              </w:rPr>
            </w:pPr>
          </w:p>
        </w:tc>
        <w:tc>
          <w:tcPr>
            <w:tcW w:w="618" w:type="dxa"/>
            <w:vAlign w:val="center"/>
          </w:tcPr>
          <w:p>
            <w:pPr>
              <w:widowControl/>
              <w:snapToGrid w:val="0"/>
              <w:spacing w:line="360" w:lineRule="auto"/>
              <w:jc w:val="center"/>
              <w:rPr>
                <w:rFonts w:hint="eastAsia" w:ascii="宋体" w:hAnsi="宋体" w:eastAsia="宋体" w:cs="宋体"/>
                <w:color w:val="auto"/>
                <w:kern w:val="0"/>
                <w:szCs w:val="21"/>
              </w:rPr>
            </w:pPr>
          </w:p>
        </w:tc>
        <w:tc>
          <w:tcPr>
            <w:tcW w:w="919" w:type="dxa"/>
            <w:vAlign w:val="center"/>
          </w:tcPr>
          <w:p>
            <w:pPr>
              <w:widowControl/>
              <w:snapToGrid w:val="0"/>
              <w:spacing w:line="360" w:lineRule="auto"/>
              <w:jc w:val="center"/>
              <w:rPr>
                <w:rFonts w:hint="eastAsia" w:ascii="宋体" w:hAnsi="宋体" w:eastAsia="宋体" w:cs="宋体"/>
                <w:color w:val="auto"/>
                <w:kern w:val="0"/>
                <w:szCs w:val="21"/>
              </w:rPr>
            </w:pPr>
          </w:p>
        </w:tc>
        <w:tc>
          <w:tcPr>
            <w:tcW w:w="1072" w:type="dxa"/>
            <w:vAlign w:val="center"/>
          </w:tcPr>
          <w:p>
            <w:pPr>
              <w:widowControl/>
              <w:snapToGrid w:val="0"/>
              <w:spacing w:line="360" w:lineRule="auto"/>
              <w:jc w:val="center"/>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3</w:t>
            </w:r>
          </w:p>
        </w:tc>
        <w:tc>
          <w:tcPr>
            <w:tcW w:w="934" w:type="dxa"/>
            <w:vAlign w:val="center"/>
          </w:tcPr>
          <w:p>
            <w:pPr>
              <w:widowControl/>
              <w:snapToGrid w:val="0"/>
              <w:spacing w:line="360" w:lineRule="auto"/>
              <w:jc w:val="center"/>
              <w:rPr>
                <w:rFonts w:hint="eastAsia" w:ascii="宋体" w:hAnsi="宋体" w:eastAsia="宋体" w:cs="宋体"/>
                <w:b/>
                <w:bCs/>
                <w:color w:val="auto"/>
                <w:kern w:val="0"/>
                <w:szCs w:val="21"/>
              </w:rPr>
            </w:pPr>
          </w:p>
        </w:tc>
        <w:tc>
          <w:tcPr>
            <w:tcW w:w="780" w:type="dxa"/>
            <w:vAlign w:val="center"/>
          </w:tcPr>
          <w:p>
            <w:pPr>
              <w:widowControl/>
              <w:snapToGrid w:val="0"/>
              <w:spacing w:line="360" w:lineRule="auto"/>
              <w:jc w:val="center"/>
              <w:rPr>
                <w:rFonts w:hint="eastAsia" w:ascii="宋体" w:hAnsi="宋体" w:eastAsia="宋体" w:cs="宋体"/>
                <w:color w:val="auto"/>
                <w:kern w:val="0"/>
                <w:szCs w:val="21"/>
              </w:rPr>
            </w:pPr>
          </w:p>
        </w:tc>
        <w:tc>
          <w:tcPr>
            <w:tcW w:w="1117" w:type="dxa"/>
            <w:vAlign w:val="center"/>
          </w:tcPr>
          <w:p>
            <w:pPr>
              <w:widowControl/>
              <w:snapToGrid w:val="0"/>
              <w:spacing w:line="360" w:lineRule="auto"/>
              <w:jc w:val="center"/>
              <w:rPr>
                <w:rFonts w:hint="eastAsia" w:ascii="宋体" w:hAnsi="宋体" w:eastAsia="宋体" w:cs="宋体"/>
                <w:color w:val="auto"/>
                <w:kern w:val="0"/>
                <w:szCs w:val="21"/>
              </w:rPr>
            </w:pPr>
          </w:p>
        </w:tc>
        <w:tc>
          <w:tcPr>
            <w:tcW w:w="1799" w:type="dxa"/>
            <w:vAlign w:val="center"/>
          </w:tcPr>
          <w:p>
            <w:pPr>
              <w:widowControl/>
              <w:snapToGrid w:val="0"/>
              <w:spacing w:line="360" w:lineRule="auto"/>
              <w:jc w:val="center"/>
              <w:rPr>
                <w:rFonts w:hint="eastAsia" w:ascii="宋体" w:hAnsi="宋体" w:eastAsia="宋体" w:cs="宋体"/>
                <w:color w:val="auto"/>
                <w:kern w:val="0"/>
                <w:szCs w:val="21"/>
              </w:rPr>
            </w:pPr>
          </w:p>
        </w:tc>
        <w:tc>
          <w:tcPr>
            <w:tcW w:w="613" w:type="dxa"/>
            <w:vAlign w:val="center"/>
          </w:tcPr>
          <w:p>
            <w:pPr>
              <w:widowControl/>
              <w:snapToGrid w:val="0"/>
              <w:spacing w:line="360" w:lineRule="auto"/>
              <w:jc w:val="center"/>
              <w:rPr>
                <w:rFonts w:hint="eastAsia" w:ascii="宋体" w:hAnsi="宋体" w:eastAsia="宋体" w:cs="宋体"/>
                <w:color w:val="auto"/>
                <w:kern w:val="0"/>
                <w:szCs w:val="21"/>
              </w:rPr>
            </w:pPr>
          </w:p>
        </w:tc>
        <w:tc>
          <w:tcPr>
            <w:tcW w:w="618" w:type="dxa"/>
            <w:vAlign w:val="center"/>
          </w:tcPr>
          <w:p>
            <w:pPr>
              <w:widowControl/>
              <w:snapToGrid w:val="0"/>
              <w:spacing w:line="360" w:lineRule="auto"/>
              <w:jc w:val="center"/>
              <w:rPr>
                <w:rFonts w:hint="eastAsia" w:ascii="宋体" w:hAnsi="宋体" w:eastAsia="宋体" w:cs="宋体"/>
                <w:color w:val="auto"/>
                <w:kern w:val="0"/>
                <w:szCs w:val="21"/>
              </w:rPr>
            </w:pPr>
          </w:p>
        </w:tc>
        <w:tc>
          <w:tcPr>
            <w:tcW w:w="919" w:type="dxa"/>
            <w:vAlign w:val="center"/>
          </w:tcPr>
          <w:p>
            <w:pPr>
              <w:widowControl/>
              <w:snapToGrid w:val="0"/>
              <w:spacing w:line="360" w:lineRule="auto"/>
              <w:jc w:val="center"/>
              <w:rPr>
                <w:rFonts w:hint="eastAsia" w:ascii="宋体" w:hAnsi="宋体" w:eastAsia="宋体" w:cs="宋体"/>
                <w:color w:val="auto"/>
                <w:kern w:val="0"/>
                <w:szCs w:val="21"/>
              </w:rPr>
            </w:pPr>
          </w:p>
        </w:tc>
        <w:tc>
          <w:tcPr>
            <w:tcW w:w="1072" w:type="dxa"/>
            <w:vAlign w:val="center"/>
          </w:tcPr>
          <w:p>
            <w:pPr>
              <w:widowControl/>
              <w:snapToGrid w:val="0"/>
              <w:spacing w:line="360" w:lineRule="auto"/>
              <w:jc w:val="center"/>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w:t>
            </w:r>
          </w:p>
        </w:tc>
        <w:tc>
          <w:tcPr>
            <w:tcW w:w="934" w:type="dxa"/>
            <w:vAlign w:val="center"/>
          </w:tcPr>
          <w:p>
            <w:pPr>
              <w:widowControl/>
              <w:snapToGrid w:val="0"/>
              <w:spacing w:line="360" w:lineRule="auto"/>
              <w:jc w:val="center"/>
              <w:rPr>
                <w:rFonts w:hint="eastAsia" w:ascii="宋体" w:hAnsi="宋体" w:eastAsia="宋体" w:cs="宋体"/>
                <w:b/>
                <w:bCs/>
                <w:color w:val="auto"/>
                <w:kern w:val="0"/>
                <w:szCs w:val="21"/>
              </w:rPr>
            </w:pPr>
          </w:p>
        </w:tc>
        <w:tc>
          <w:tcPr>
            <w:tcW w:w="780" w:type="dxa"/>
            <w:vAlign w:val="center"/>
          </w:tcPr>
          <w:p>
            <w:pPr>
              <w:widowControl/>
              <w:snapToGrid w:val="0"/>
              <w:spacing w:line="360" w:lineRule="auto"/>
              <w:jc w:val="center"/>
              <w:rPr>
                <w:rFonts w:hint="eastAsia" w:ascii="宋体" w:hAnsi="宋体" w:eastAsia="宋体" w:cs="宋体"/>
                <w:color w:val="auto"/>
                <w:kern w:val="0"/>
                <w:szCs w:val="21"/>
              </w:rPr>
            </w:pPr>
          </w:p>
        </w:tc>
        <w:tc>
          <w:tcPr>
            <w:tcW w:w="1117" w:type="dxa"/>
            <w:vAlign w:val="center"/>
          </w:tcPr>
          <w:p>
            <w:pPr>
              <w:widowControl/>
              <w:snapToGrid w:val="0"/>
              <w:spacing w:line="360" w:lineRule="auto"/>
              <w:jc w:val="center"/>
              <w:rPr>
                <w:rFonts w:hint="eastAsia" w:ascii="宋体" w:hAnsi="宋体" w:eastAsia="宋体" w:cs="宋体"/>
                <w:color w:val="auto"/>
                <w:kern w:val="0"/>
                <w:szCs w:val="21"/>
              </w:rPr>
            </w:pPr>
          </w:p>
        </w:tc>
        <w:tc>
          <w:tcPr>
            <w:tcW w:w="1799" w:type="dxa"/>
            <w:vAlign w:val="center"/>
          </w:tcPr>
          <w:p>
            <w:pPr>
              <w:widowControl/>
              <w:snapToGrid w:val="0"/>
              <w:spacing w:line="360" w:lineRule="auto"/>
              <w:jc w:val="center"/>
              <w:rPr>
                <w:rFonts w:hint="eastAsia" w:ascii="宋体" w:hAnsi="宋体" w:eastAsia="宋体" w:cs="宋体"/>
                <w:color w:val="auto"/>
                <w:kern w:val="0"/>
                <w:szCs w:val="21"/>
              </w:rPr>
            </w:pPr>
          </w:p>
        </w:tc>
        <w:tc>
          <w:tcPr>
            <w:tcW w:w="613" w:type="dxa"/>
            <w:vAlign w:val="center"/>
          </w:tcPr>
          <w:p>
            <w:pPr>
              <w:widowControl/>
              <w:snapToGrid w:val="0"/>
              <w:spacing w:line="360" w:lineRule="auto"/>
              <w:jc w:val="center"/>
              <w:rPr>
                <w:rFonts w:hint="eastAsia" w:ascii="宋体" w:hAnsi="宋体" w:eastAsia="宋体" w:cs="宋体"/>
                <w:color w:val="auto"/>
                <w:kern w:val="0"/>
                <w:szCs w:val="21"/>
              </w:rPr>
            </w:pPr>
          </w:p>
        </w:tc>
        <w:tc>
          <w:tcPr>
            <w:tcW w:w="618" w:type="dxa"/>
            <w:vAlign w:val="center"/>
          </w:tcPr>
          <w:p>
            <w:pPr>
              <w:widowControl/>
              <w:snapToGrid w:val="0"/>
              <w:spacing w:line="360" w:lineRule="auto"/>
              <w:jc w:val="center"/>
              <w:rPr>
                <w:rFonts w:hint="eastAsia" w:ascii="宋体" w:hAnsi="宋体" w:eastAsia="宋体" w:cs="宋体"/>
                <w:color w:val="auto"/>
                <w:kern w:val="0"/>
                <w:szCs w:val="21"/>
              </w:rPr>
            </w:pPr>
          </w:p>
        </w:tc>
        <w:tc>
          <w:tcPr>
            <w:tcW w:w="919" w:type="dxa"/>
            <w:vAlign w:val="center"/>
          </w:tcPr>
          <w:p>
            <w:pPr>
              <w:widowControl/>
              <w:snapToGrid w:val="0"/>
              <w:spacing w:line="360" w:lineRule="auto"/>
              <w:jc w:val="center"/>
              <w:rPr>
                <w:rFonts w:hint="eastAsia" w:ascii="宋体" w:hAnsi="宋体" w:eastAsia="宋体" w:cs="宋体"/>
                <w:color w:val="auto"/>
                <w:kern w:val="0"/>
                <w:szCs w:val="21"/>
              </w:rPr>
            </w:pPr>
          </w:p>
        </w:tc>
        <w:tc>
          <w:tcPr>
            <w:tcW w:w="1072" w:type="dxa"/>
            <w:vAlign w:val="center"/>
          </w:tcPr>
          <w:p>
            <w:pPr>
              <w:widowControl/>
              <w:snapToGrid w:val="0"/>
              <w:spacing w:line="360" w:lineRule="auto"/>
              <w:jc w:val="center"/>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531" w:type="dxa"/>
            <w:gridSpan w:val="7"/>
            <w:vAlign w:val="center"/>
          </w:tcPr>
          <w:p>
            <w:pPr>
              <w:widowControl/>
              <w:snapToGri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合     计</w:t>
            </w:r>
          </w:p>
        </w:tc>
        <w:tc>
          <w:tcPr>
            <w:tcW w:w="919" w:type="dxa"/>
            <w:vAlign w:val="center"/>
          </w:tcPr>
          <w:p>
            <w:pPr>
              <w:widowControl/>
              <w:snapToGrid w:val="0"/>
              <w:spacing w:line="360" w:lineRule="auto"/>
              <w:jc w:val="center"/>
              <w:rPr>
                <w:rFonts w:hint="eastAsia" w:ascii="宋体" w:hAnsi="宋体" w:eastAsia="宋体" w:cs="宋体"/>
                <w:color w:val="auto"/>
                <w:kern w:val="0"/>
                <w:szCs w:val="21"/>
              </w:rPr>
            </w:pPr>
          </w:p>
        </w:tc>
        <w:tc>
          <w:tcPr>
            <w:tcW w:w="1072" w:type="dxa"/>
            <w:vAlign w:val="center"/>
          </w:tcPr>
          <w:p>
            <w:pPr>
              <w:widowControl/>
              <w:snapToGrid w:val="0"/>
              <w:spacing w:line="360" w:lineRule="auto"/>
              <w:jc w:val="center"/>
              <w:rPr>
                <w:rFonts w:hint="eastAsia" w:ascii="宋体" w:hAnsi="宋体" w:eastAsia="宋体" w:cs="宋体"/>
                <w:color w:val="auto"/>
                <w:kern w:val="0"/>
                <w:szCs w:val="21"/>
              </w:rPr>
            </w:pPr>
          </w:p>
        </w:tc>
      </w:tr>
    </w:tbl>
    <w:p>
      <w:pPr>
        <w:widowControl/>
        <w:snapToGrid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供应商名称（公章）：</w:t>
      </w:r>
    </w:p>
    <w:p>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法定代表人或代理人（签字或盖章）：</w:t>
      </w:r>
    </w:p>
    <w:p>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表式参考，可根据项目情况自行调整</w:t>
      </w:r>
    </w:p>
    <w:p>
      <w:pP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pPr>
        <w:rPr>
          <w:rFonts w:hint="eastAsia" w:ascii="宋体" w:hAnsi="宋体" w:eastAsia="宋体" w:cs="宋体"/>
          <w:b/>
          <w:color w:val="auto"/>
          <w:sz w:val="28"/>
          <w:szCs w:val="28"/>
        </w:rPr>
      </w:pPr>
      <w:r>
        <w:rPr>
          <w:rFonts w:hint="eastAsia" w:ascii="宋体" w:hAnsi="宋体" w:eastAsia="宋体" w:cs="宋体"/>
          <w:b/>
          <w:color w:val="auto"/>
          <w:sz w:val="28"/>
          <w:szCs w:val="28"/>
        </w:rPr>
        <w:t>6.偏离表</w:t>
      </w:r>
    </w:p>
    <w:p>
      <w:pPr>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偏 离 表</w:t>
      </w:r>
    </w:p>
    <w:p>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供应商应对竞争性谈判文件中规定的商务及技术部分给予充分的考虑。为了评审的需要，供应商应将这些条款的异议逐条提出或根据以下要求的格式提出偏离。</w:t>
      </w:r>
    </w:p>
    <w:p>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如无偏离，请在本页上写“无”，并附在谈判响应文件中 。          </w:t>
      </w:r>
    </w:p>
    <w:p>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项目编号：</w:t>
      </w:r>
    </w:p>
    <w:tbl>
      <w:tblPr>
        <w:tblStyle w:val="21"/>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vAlign w:val="center"/>
          </w:tcPr>
          <w:p>
            <w:pPr>
              <w:rPr>
                <w:rFonts w:hint="eastAsia" w:ascii="宋体" w:hAnsi="宋体" w:eastAsia="宋体" w:cs="宋体"/>
                <w:color w:val="auto"/>
                <w:szCs w:val="21"/>
              </w:rPr>
            </w:pPr>
            <w:r>
              <w:rPr>
                <w:rFonts w:hint="eastAsia" w:ascii="宋体" w:hAnsi="宋体" w:eastAsia="宋体" w:cs="宋体"/>
                <w:color w:val="auto"/>
                <w:szCs w:val="21"/>
              </w:rPr>
              <w:t>章节号</w:t>
            </w:r>
          </w:p>
        </w:tc>
        <w:tc>
          <w:tcPr>
            <w:tcW w:w="2132" w:type="dxa"/>
            <w:vAlign w:val="center"/>
          </w:tcPr>
          <w:p>
            <w:pPr>
              <w:rPr>
                <w:rFonts w:hint="eastAsia" w:ascii="宋体" w:hAnsi="宋体" w:eastAsia="宋体" w:cs="宋体"/>
                <w:color w:val="auto"/>
                <w:szCs w:val="21"/>
              </w:rPr>
            </w:pPr>
            <w:r>
              <w:rPr>
                <w:rFonts w:hint="eastAsia" w:ascii="宋体" w:hAnsi="宋体" w:eastAsia="宋体" w:cs="宋体"/>
                <w:color w:val="auto"/>
                <w:szCs w:val="21"/>
              </w:rPr>
              <w:t>供应商的偏离</w:t>
            </w:r>
          </w:p>
        </w:tc>
        <w:tc>
          <w:tcPr>
            <w:tcW w:w="3044" w:type="dxa"/>
            <w:vAlign w:val="center"/>
          </w:tcPr>
          <w:p>
            <w:pPr>
              <w:rPr>
                <w:rFonts w:hint="eastAsia" w:ascii="宋体" w:hAnsi="宋体" w:eastAsia="宋体" w:cs="宋体"/>
                <w:color w:val="auto"/>
                <w:szCs w:val="21"/>
              </w:rPr>
            </w:pPr>
            <w:r>
              <w:rPr>
                <w:rFonts w:hint="eastAsia" w:ascii="宋体" w:hAnsi="宋体" w:eastAsia="宋体" w:cs="宋体"/>
                <w:color w:val="auto"/>
                <w:szCs w:val="21"/>
              </w:rPr>
              <w:t>供应商偏离的理由</w:t>
            </w:r>
          </w:p>
        </w:tc>
        <w:tc>
          <w:tcPr>
            <w:tcW w:w="1440" w:type="dxa"/>
            <w:vAlign w:val="center"/>
          </w:tcPr>
          <w:p>
            <w:pPr>
              <w:rPr>
                <w:rFonts w:hint="eastAsia" w:ascii="宋体" w:hAnsi="宋体" w:eastAsia="宋体" w:cs="宋体"/>
                <w:color w:val="auto"/>
                <w:szCs w:val="21"/>
              </w:rPr>
            </w:pPr>
            <w:r>
              <w:rPr>
                <w:rFonts w:hint="eastAsia" w:ascii="宋体" w:hAnsi="宋体" w:eastAsia="宋体" w:cs="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rPr>
                <w:rFonts w:hint="eastAsia" w:ascii="宋体" w:hAnsi="宋体" w:eastAsia="宋体" w:cs="宋体"/>
                <w:color w:val="auto"/>
                <w:szCs w:val="21"/>
              </w:rPr>
            </w:pPr>
          </w:p>
        </w:tc>
        <w:tc>
          <w:tcPr>
            <w:tcW w:w="2132" w:type="dxa"/>
          </w:tcPr>
          <w:p>
            <w:pPr>
              <w:rPr>
                <w:rFonts w:hint="eastAsia" w:ascii="宋体" w:hAnsi="宋体" w:eastAsia="宋体" w:cs="宋体"/>
                <w:color w:val="auto"/>
                <w:szCs w:val="21"/>
              </w:rPr>
            </w:pPr>
          </w:p>
        </w:tc>
        <w:tc>
          <w:tcPr>
            <w:tcW w:w="3044" w:type="dxa"/>
          </w:tcPr>
          <w:p>
            <w:pPr>
              <w:rPr>
                <w:rFonts w:hint="eastAsia" w:ascii="宋体" w:hAnsi="宋体" w:eastAsia="宋体" w:cs="宋体"/>
                <w:color w:val="auto"/>
                <w:szCs w:val="21"/>
              </w:rPr>
            </w:pPr>
          </w:p>
        </w:tc>
        <w:tc>
          <w:tcPr>
            <w:tcW w:w="1440" w:type="dxa"/>
          </w:tcPr>
          <w:p>
            <w:pP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rPr>
                <w:rFonts w:hint="eastAsia" w:ascii="宋体" w:hAnsi="宋体" w:eastAsia="宋体" w:cs="宋体"/>
                <w:color w:val="auto"/>
                <w:szCs w:val="21"/>
              </w:rPr>
            </w:pPr>
          </w:p>
        </w:tc>
        <w:tc>
          <w:tcPr>
            <w:tcW w:w="2132" w:type="dxa"/>
          </w:tcPr>
          <w:p>
            <w:pPr>
              <w:rPr>
                <w:rFonts w:hint="eastAsia" w:ascii="宋体" w:hAnsi="宋体" w:eastAsia="宋体" w:cs="宋体"/>
                <w:color w:val="auto"/>
                <w:szCs w:val="21"/>
              </w:rPr>
            </w:pPr>
          </w:p>
        </w:tc>
        <w:tc>
          <w:tcPr>
            <w:tcW w:w="3044" w:type="dxa"/>
          </w:tcPr>
          <w:p>
            <w:pPr>
              <w:rPr>
                <w:rFonts w:hint="eastAsia" w:ascii="宋体" w:hAnsi="宋体" w:eastAsia="宋体" w:cs="宋体"/>
                <w:color w:val="auto"/>
                <w:szCs w:val="21"/>
              </w:rPr>
            </w:pPr>
          </w:p>
        </w:tc>
        <w:tc>
          <w:tcPr>
            <w:tcW w:w="1440" w:type="dxa"/>
          </w:tcPr>
          <w:p>
            <w:pP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rPr>
                <w:rFonts w:hint="eastAsia" w:ascii="宋体" w:hAnsi="宋体" w:eastAsia="宋体" w:cs="宋体"/>
                <w:color w:val="auto"/>
                <w:szCs w:val="21"/>
              </w:rPr>
            </w:pPr>
          </w:p>
        </w:tc>
        <w:tc>
          <w:tcPr>
            <w:tcW w:w="2132" w:type="dxa"/>
          </w:tcPr>
          <w:p>
            <w:pPr>
              <w:rPr>
                <w:rFonts w:hint="eastAsia" w:ascii="宋体" w:hAnsi="宋体" w:eastAsia="宋体" w:cs="宋体"/>
                <w:color w:val="auto"/>
                <w:szCs w:val="21"/>
              </w:rPr>
            </w:pPr>
          </w:p>
        </w:tc>
        <w:tc>
          <w:tcPr>
            <w:tcW w:w="3044" w:type="dxa"/>
          </w:tcPr>
          <w:p>
            <w:pPr>
              <w:rPr>
                <w:rFonts w:hint="eastAsia" w:ascii="宋体" w:hAnsi="宋体" w:eastAsia="宋体" w:cs="宋体"/>
                <w:color w:val="auto"/>
                <w:szCs w:val="21"/>
              </w:rPr>
            </w:pPr>
          </w:p>
        </w:tc>
        <w:tc>
          <w:tcPr>
            <w:tcW w:w="1440" w:type="dxa"/>
          </w:tcPr>
          <w:p>
            <w:pPr>
              <w:rPr>
                <w:rFonts w:hint="eastAsia" w:ascii="宋体" w:hAnsi="宋体" w:eastAsia="宋体" w:cs="宋体"/>
                <w:color w:val="auto"/>
                <w:szCs w:val="21"/>
              </w:rPr>
            </w:pPr>
          </w:p>
        </w:tc>
      </w:tr>
    </w:tbl>
    <w:p>
      <w:pPr>
        <w:spacing w:line="360" w:lineRule="exact"/>
        <w:rPr>
          <w:rFonts w:hint="eastAsia" w:ascii="宋体" w:hAnsi="宋体" w:eastAsia="宋体" w:cs="宋体"/>
          <w:color w:val="auto"/>
          <w:szCs w:val="21"/>
        </w:rPr>
      </w:pPr>
      <w:r>
        <w:rPr>
          <w:rFonts w:hint="eastAsia" w:ascii="宋体" w:hAnsi="宋体" w:eastAsia="宋体" w:cs="宋体"/>
          <w:color w:val="auto"/>
          <w:szCs w:val="21"/>
        </w:rPr>
        <w:t>供应商名称（公章）：</w:t>
      </w:r>
    </w:p>
    <w:p>
      <w:pPr>
        <w:spacing w:line="360" w:lineRule="exact"/>
        <w:rPr>
          <w:rFonts w:hint="eastAsia" w:ascii="宋体" w:hAnsi="宋体" w:eastAsia="宋体" w:cs="宋体"/>
          <w:color w:val="auto"/>
          <w:szCs w:val="21"/>
        </w:rPr>
      </w:pPr>
      <w:r>
        <w:rPr>
          <w:rFonts w:hint="eastAsia" w:ascii="宋体" w:hAnsi="宋体" w:eastAsia="宋体" w:cs="宋体"/>
          <w:color w:val="auto"/>
          <w:szCs w:val="21"/>
        </w:rPr>
        <w:t>法定代表人或代理人（签字或盖章）：</w:t>
      </w:r>
    </w:p>
    <w:p>
      <w:pPr>
        <w:spacing w:line="360" w:lineRule="exact"/>
        <w:rPr>
          <w:rFonts w:hint="eastAsia" w:ascii="宋体" w:hAnsi="宋体" w:eastAsia="宋体" w:cs="宋体"/>
          <w:color w:val="auto"/>
          <w:szCs w:val="21"/>
        </w:rPr>
      </w:pPr>
      <w:r>
        <w:rPr>
          <w:rFonts w:hint="eastAsia" w:ascii="宋体" w:hAnsi="宋体" w:eastAsia="宋体" w:cs="宋体"/>
          <w:color w:val="auto"/>
          <w:szCs w:val="21"/>
        </w:rPr>
        <w:t>日期：      年  月   日</w:t>
      </w:r>
    </w:p>
    <w:p>
      <w:pPr>
        <w:pStyle w:val="6"/>
        <w:overflowPunct w:val="0"/>
        <w:spacing w:line="500" w:lineRule="exact"/>
        <w:ind w:firstLine="0"/>
        <w:rPr>
          <w:rFonts w:hint="eastAsia" w:ascii="宋体" w:hAnsi="宋体" w:eastAsia="宋体" w:cs="宋体"/>
          <w:b/>
          <w:color w:val="auto"/>
          <w:sz w:val="28"/>
          <w:szCs w:val="28"/>
        </w:rPr>
      </w:pPr>
    </w:p>
    <w:p>
      <w:pPr>
        <w:pStyle w:val="6"/>
        <w:overflowPunct w:val="0"/>
        <w:spacing w:line="500" w:lineRule="exact"/>
        <w:ind w:firstLine="0"/>
        <w:rPr>
          <w:rFonts w:hint="eastAsia" w:ascii="宋体" w:hAnsi="宋体" w:eastAsia="宋体" w:cs="宋体"/>
          <w:b/>
          <w:color w:val="auto"/>
          <w:sz w:val="28"/>
          <w:szCs w:val="28"/>
        </w:rPr>
      </w:pPr>
    </w:p>
    <w:p>
      <w:pPr>
        <w:pStyle w:val="6"/>
        <w:overflowPunct w:val="0"/>
        <w:spacing w:line="500" w:lineRule="exact"/>
        <w:ind w:firstLine="0"/>
        <w:rPr>
          <w:rFonts w:hint="eastAsia" w:ascii="宋体" w:hAnsi="宋体" w:eastAsia="宋体" w:cs="宋体"/>
          <w:b/>
          <w:bCs/>
          <w:color w:val="auto"/>
          <w:sz w:val="28"/>
          <w:szCs w:val="28"/>
        </w:rPr>
      </w:pPr>
      <w:r>
        <w:rPr>
          <w:rFonts w:hint="eastAsia" w:ascii="宋体" w:hAnsi="宋体" w:eastAsia="宋体" w:cs="宋体"/>
          <w:b/>
          <w:bCs/>
          <w:color w:val="auto"/>
          <w:sz w:val="28"/>
          <w:szCs w:val="28"/>
        </w:rPr>
        <w:t>7.质保及售后服务承诺书</w:t>
      </w:r>
    </w:p>
    <w:p>
      <w:pPr>
        <w:pStyle w:val="3"/>
        <w:tabs>
          <w:tab w:val="left" w:pos="432"/>
        </w:tabs>
        <w:spacing w:line="480" w:lineRule="exact"/>
        <w:rPr>
          <w:rFonts w:hint="eastAsia" w:ascii="宋体" w:hAnsi="宋体" w:eastAsia="宋体" w:cs="宋体"/>
          <w:b w:val="0"/>
          <w:bCs/>
          <w:color w:val="auto"/>
          <w:szCs w:val="32"/>
        </w:rPr>
      </w:pPr>
    </w:p>
    <w:p>
      <w:pPr>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质保及售后服务承诺书</w:t>
      </w: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服务承诺如下：</w:t>
      </w: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质保承诺如下：</w:t>
      </w: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exact"/>
        <w:rPr>
          <w:rFonts w:hint="eastAsia" w:ascii="宋体" w:hAnsi="宋体" w:eastAsia="宋体" w:cs="宋体"/>
          <w:color w:val="auto"/>
          <w:szCs w:val="21"/>
        </w:rPr>
      </w:pPr>
      <w:r>
        <w:rPr>
          <w:rFonts w:hint="eastAsia" w:ascii="宋体" w:hAnsi="宋体" w:eastAsia="宋体" w:cs="宋体"/>
          <w:color w:val="auto"/>
          <w:szCs w:val="21"/>
        </w:rPr>
        <w:t>供应商名称（公章）：</w:t>
      </w:r>
    </w:p>
    <w:p>
      <w:pPr>
        <w:spacing w:line="360" w:lineRule="exact"/>
        <w:rPr>
          <w:rFonts w:hint="eastAsia" w:ascii="宋体" w:hAnsi="宋体" w:eastAsia="宋体" w:cs="宋体"/>
          <w:color w:val="auto"/>
          <w:szCs w:val="21"/>
        </w:rPr>
      </w:pPr>
      <w:r>
        <w:rPr>
          <w:rFonts w:hint="eastAsia" w:ascii="宋体" w:hAnsi="宋体" w:eastAsia="宋体" w:cs="宋体"/>
          <w:color w:val="auto"/>
          <w:szCs w:val="21"/>
        </w:rPr>
        <w:t>法定代表人或代理人（签字或盖章）：</w:t>
      </w:r>
    </w:p>
    <w:p>
      <w:pPr>
        <w:spacing w:line="360" w:lineRule="exact"/>
        <w:rPr>
          <w:rFonts w:hint="eastAsia" w:ascii="宋体" w:hAnsi="宋体" w:eastAsia="宋体" w:cs="宋体"/>
          <w:color w:val="auto"/>
          <w:szCs w:val="21"/>
        </w:rPr>
      </w:pPr>
      <w:r>
        <w:rPr>
          <w:rFonts w:hint="eastAsia" w:ascii="宋体" w:hAnsi="宋体" w:eastAsia="宋体" w:cs="宋体"/>
          <w:color w:val="auto"/>
          <w:szCs w:val="21"/>
        </w:rPr>
        <w:t>日期：      年  月   日</w:t>
      </w:r>
    </w:p>
    <w:p>
      <w:pPr>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pStyle w:val="3"/>
        <w:rPr>
          <w:rFonts w:hint="eastAsia" w:ascii="宋体" w:hAnsi="宋体" w:eastAsia="宋体" w:cs="宋体"/>
          <w:color w:val="auto"/>
        </w:rPr>
      </w:pPr>
      <w:bookmarkStart w:id="8" w:name="_Toc17536931"/>
      <w:r>
        <w:rPr>
          <w:rFonts w:hint="eastAsia" w:ascii="宋体" w:hAnsi="宋体" w:eastAsia="宋体" w:cs="宋体"/>
          <w:color w:val="auto"/>
        </w:rPr>
        <w:t>友 情 提 醒</w:t>
      </w:r>
      <w:bookmarkEnd w:id="8"/>
    </w:p>
    <w:p>
      <w:pPr>
        <w:spacing w:line="420" w:lineRule="exact"/>
        <w:rPr>
          <w:rFonts w:hint="eastAsia" w:ascii="宋体" w:hAnsi="宋体" w:eastAsia="宋体" w:cs="宋体"/>
          <w:color w:val="auto"/>
          <w:sz w:val="24"/>
          <w:szCs w:val="24"/>
        </w:rPr>
      </w:pPr>
      <w:r>
        <w:rPr>
          <w:rFonts w:hint="eastAsia" w:ascii="宋体" w:hAnsi="宋体" w:eastAsia="宋体" w:cs="宋体"/>
          <w:color w:val="auto"/>
          <w:sz w:val="24"/>
          <w:szCs w:val="24"/>
        </w:rPr>
        <w:t>各供应商：</w:t>
      </w:r>
    </w:p>
    <w:p>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您好！</w:t>
      </w:r>
    </w:p>
    <w:p>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为了提高贵单位谈判响应文件的有效性，减少不必要的无效响应，特友情提醒注意以下几点：</w:t>
      </w:r>
    </w:p>
    <w:p>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1.请谨记竞争性谈判文件上表述的</w:t>
      </w:r>
      <w:r>
        <w:rPr>
          <w:rFonts w:hint="eastAsia" w:ascii="宋体" w:hAnsi="宋体" w:eastAsia="宋体" w:cs="宋体"/>
          <w:b/>
          <w:color w:val="auto"/>
          <w:sz w:val="24"/>
          <w:szCs w:val="24"/>
        </w:rPr>
        <w:t>各项事宜时间节点</w:t>
      </w:r>
      <w:r>
        <w:rPr>
          <w:rFonts w:hint="eastAsia" w:ascii="宋体" w:hAnsi="宋体" w:eastAsia="宋体" w:cs="宋体"/>
          <w:color w:val="auto"/>
          <w:sz w:val="24"/>
          <w:szCs w:val="24"/>
        </w:rPr>
        <w:t>，特别是</w:t>
      </w:r>
      <w:r>
        <w:rPr>
          <w:rFonts w:hint="eastAsia" w:ascii="宋体" w:hAnsi="宋体" w:eastAsia="宋体" w:cs="宋体"/>
          <w:b/>
          <w:color w:val="auto"/>
          <w:sz w:val="24"/>
          <w:szCs w:val="24"/>
        </w:rPr>
        <w:t>谈判时间和地点</w:t>
      </w:r>
      <w:r>
        <w:rPr>
          <w:rFonts w:hint="eastAsia" w:ascii="宋体" w:hAnsi="宋体" w:eastAsia="宋体" w:cs="宋体"/>
          <w:color w:val="auto"/>
          <w:sz w:val="24"/>
          <w:szCs w:val="24"/>
        </w:rPr>
        <w:t>，迟到的将一律不能进入开标室。</w:t>
      </w:r>
    </w:p>
    <w:p>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2.谈判保证金一定要从</w:t>
      </w:r>
      <w:r>
        <w:rPr>
          <w:rFonts w:hint="eastAsia" w:ascii="宋体" w:hAnsi="宋体" w:eastAsia="宋体" w:cs="宋体"/>
          <w:b/>
          <w:color w:val="auto"/>
          <w:sz w:val="24"/>
          <w:szCs w:val="24"/>
        </w:rPr>
        <w:t>供应商账户</w:t>
      </w:r>
      <w:r>
        <w:rPr>
          <w:rFonts w:hint="eastAsia" w:ascii="宋体" w:hAnsi="宋体" w:eastAsia="宋体" w:cs="宋体"/>
          <w:color w:val="auto"/>
          <w:sz w:val="24"/>
          <w:szCs w:val="24"/>
        </w:rPr>
        <w:t>按竞争性谈判文件规定的</w:t>
      </w:r>
      <w:r>
        <w:rPr>
          <w:rFonts w:hint="eastAsia" w:ascii="宋体" w:hAnsi="宋体" w:eastAsia="宋体" w:cs="宋体"/>
          <w:b/>
          <w:color w:val="auto"/>
          <w:sz w:val="24"/>
          <w:szCs w:val="24"/>
        </w:rPr>
        <w:t>方式和时间</w:t>
      </w:r>
      <w:r>
        <w:rPr>
          <w:rFonts w:hint="eastAsia" w:ascii="宋体" w:hAnsi="宋体" w:eastAsia="宋体" w:cs="宋体"/>
          <w:color w:val="auto"/>
          <w:sz w:val="24"/>
          <w:szCs w:val="24"/>
        </w:rPr>
        <w:t>缴至</w:t>
      </w:r>
      <w:r>
        <w:rPr>
          <w:rFonts w:hint="eastAsia" w:ascii="宋体" w:hAnsi="宋体" w:eastAsia="宋体" w:cs="宋体"/>
          <w:b/>
          <w:color w:val="auto"/>
          <w:sz w:val="24"/>
          <w:szCs w:val="24"/>
        </w:rPr>
        <w:t>指定账户并到账</w:t>
      </w:r>
      <w:r>
        <w:rPr>
          <w:rFonts w:hint="eastAsia" w:ascii="宋体" w:hAnsi="宋体" w:eastAsia="宋体" w:cs="宋体"/>
          <w:color w:val="auto"/>
          <w:sz w:val="24"/>
          <w:szCs w:val="24"/>
        </w:rPr>
        <w:t>，拒绝以其它方式缴纳，禁止第三方代缴保证金。</w:t>
      </w:r>
    </w:p>
    <w:p>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3.谈判响应文件</w:t>
      </w:r>
      <w:r>
        <w:rPr>
          <w:rFonts w:hint="eastAsia" w:ascii="宋体" w:hAnsi="宋体" w:eastAsia="宋体" w:cs="宋体"/>
          <w:b/>
          <w:color w:val="auto"/>
          <w:sz w:val="24"/>
          <w:szCs w:val="24"/>
        </w:rPr>
        <w:t>正本和副本应当密封，电子光盘应当单独密封，</w:t>
      </w:r>
      <w:r>
        <w:rPr>
          <w:rFonts w:hint="eastAsia" w:ascii="宋体" w:hAnsi="宋体" w:eastAsia="宋体" w:cs="宋体"/>
          <w:color w:val="auto"/>
          <w:sz w:val="24"/>
          <w:szCs w:val="24"/>
        </w:rPr>
        <w:t>并在封袋上加盖</w:t>
      </w:r>
      <w:r>
        <w:rPr>
          <w:rFonts w:hint="eastAsia" w:ascii="宋体" w:hAnsi="宋体" w:eastAsia="宋体" w:cs="宋体"/>
          <w:b/>
          <w:color w:val="auto"/>
          <w:sz w:val="24"/>
          <w:szCs w:val="24"/>
        </w:rPr>
        <w:t>供应商公章</w:t>
      </w:r>
      <w:r>
        <w:rPr>
          <w:rFonts w:hint="eastAsia" w:ascii="宋体" w:hAnsi="宋体" w:eastAsia="宋体" w:cs="宋体"/>
          <w:color w:val="auto"/>
          <w:sz w:val="24"/>
          <w:szCs w:val="24"/>
        </w:rPr>
        <w:t>。</w:t>
      </w:r>
    </w:p>
    <w:p>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4.谈判响应文件中的证明文件及资料需提供复印件并加盖</w:t>
      </w:r>
      <w:r>
        <w:rPr>
          <w:rFonts w:hint="eastAsia" w:ascii="宋体" w:hAnsi="宋体" w:eastAsia="宋体" w:cs="宋体"/>
          <w:b/>
          <w:color w:val="auto"/>
          <w:sz w:val="24"/>
          <w:szCs w:val="24"/>
        </w:rPr>
        <w:t>公章</w:t>
      </w:r>
      <w:r>
        <w:rPr>
          <w:rFonts w:hint="eastAsia" w:ascii="宋体" w:hAnsi="宋体" w:eastAsia="宋体" w:cs="宋体"/>
          <w:color w:val="auto"/>
          <w:sz w:val="24"/>
          <w:szCs w:val="24"/>
        </w:rPr>
        <w:t>，有要求提供原件或公证件的必须将原件或公证件携带至谈判现场备查或核查。</w:t>
      </w:r>
    </w:p>
    <w:p>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5.需要提供样品的，请严格按竞争性谈判文件要求提供，同时注意</w:t>
      </w:r>
      <w:r>
        <w:rPr>
          <w:rFonts w:hint="eastAsia" w:ascii="宋体" w:hAnsi="宋体" w:eastAsia="宋体" w:cs="宋体"/>
          <w:b/>
          <w:color w:val="auto"/>
          <w:sz w:val="24"/>
          <w:szCs w:val="24"/>
        </w:rPr>
        <w:t>密封、隐蔽</w:t>
      </w:r>
      <w:r>
        <w:rPr>
          <w:rFonts w:hint="eastAsia" w:ascii="宋体" w:hAnsi="宋体" w:eastAsia="宋体" w:cs="宋体"/>
          <w:color w:val="auto"/>
          <w:sz w:val="24"/>
          <w:szCs w:val="24"/>
        </w:rPr>
        <w:t>标签的相关要求。</w:t>
      </w:r>
    </w:p>
    <w:p>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6.因竞争性谈判文件文字表述有限，鼓励您</w:t>
      </w:r>
      <w:r>
        <w:rPr>
          <w:rFonts w:hint="eastAsia" w:ascii="宋体" w:hAnsi="宋体" w:eastAsia="宋体" w:cs="宋体"/>
          <w:b/>
          <w:color w:val="auto"/>
          <w:sz w:val="24"/>
          <w:szCs w:val="24"/>
        </w:rPr>
        <w:t>现场踏勘</w:t>
      </w:r>
      <w:r>
        <w:rPr>
          <w:rFonts w:hint="eastAsia" w:ascii="宋体" w:hAnsi="宋体" w:eastAsia="宋体" w:cs="宋体"/>
          <w:color w:val="auto"/>
          <w:sz w:val="24"/>
          <w:szCs w:val="24"/>
        </w:rPr>
        <w:t>，可以在谈判前充分了解现场环境、工程进度和质量要求等信息，为贵单位有针对性的制作谈判响应文件积累充分的原始资料。</w:t>
      </w:r>
    </w:p>
    <w:p>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7.设定</w:t>
      </w:r>
      <w:r>
        <w:rPr>
          <w:rFonts w:hint="eastAsia" w:ascii="宋体" w:hAnsi="宋体" w:eastAsia="宋体" w:cs="宋体"/>
          <w:b/>
          <w:color w:val="auto"/>
          <w:sz w:val="24"/>
          <w:szCs w:val="24"/>
        </w:rPr>
        <w:t>最高限价</w:t>
      </w:r>
      <w:r>
        <w:rPr>
          <w:rFonts w:hint="eastAsia" w:ascii="宋体" w:hAnsi="宋体" w:eastAsia="宋体" w:cs="宋体"/>
          <w:color w:val="auto"/>
          <w:sz w:val="24"/>
          <w:szCs w:val="24"/>
        </w:rPr>
        <w:t>的，超过限价一律视为无效响应。</w:t>
      </w:r>
    </w:p>
    <w:p>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8.请精心仔细</w:t>
      </w:r>
      <w:r>
        <w:rPr>
          <w:rFonts w:hint="eastAsia" w:ascii="宋体" w:hAnsi="宋体" w:eastAsia="宋体" w:cs="宋体"/>
          <w:b/>
          <w:color w:val="auto"/>
          <w:sz w:val="24"/>
          <w:szCs w:val="24"/>
        </w:rPr>
        <w:t>审阅竞争性谈判文件,特别是加粗部分的文字</w:t>
      </w:r>
      <w:r>
        <w:rPr>
          <w:rFonts w:hint="eastAsia" w:ascii="宋体" w:hAnsi="宋体" w:eastAsia="宋体" w:cs="宋体"/>
          <w:color w:val="auto"/>
          <w:sz w:val="24"/>
          <w:szCs w:val="24"/>
        </w:rPr>
        <w:t>。如有疑问，请按竞争性谈判文件要求进行询疑。</w:t>
      </w:r>
    </w:p>
    <w:p>
      <w:pPr>
        <w:spacing w:line="480" w:lineRule="exact"/>
        <w:ind w:firstLine="480" w:firstLineChars="200"/>
        <w:rPr>
          <w:rFonts w:hint="eastAsia" w:ascii="宋体" w:hAnsi="宋体" w:eastAsia="宋体" w:cs="宋体"/>
          <w:color w:val="auto"/>
          <w:sz w:val="24"/>
          <w:szCs w:val="24"/>
        </w:rPr>
      </w:pPr>
    </w:p>
    <w:p>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我单位十分欢迎贵单位对招标采购组织工作提出宝贵意见和建议。电话：0519-81580101  0519-81581212</w:t>
      </w:r>
    </w:p>
    <w:p>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最后祝贵单位投标成功！</w:t>
      </w:r>
    </w:p>
    <w:p>
      <w:pPr>
        <w:rPr>
          <w:rFonts w:hint="eastAsia" w:ascii="宋体" w:hAnsi="宋体" w:eastAsia="宋体" w:cs="宋体"/>
          <w:color w:val="auto"/>
          <w:sz w:val="24"/>
          <w:szCs w:val="24"/>
        </w:rPr>
      </w:pPr>
    </w:p>
    <w:p>
      <w:pPr>
        <w:spacing w:line="360" w:lineRule="auto"/>
        <w:jc w:val="center"/>
        <w:rPr>
          <w:rFonts w:hint="eastAsia" w:ascii="宋体" w:hAnsi="宋体" w:eastAsia="宋体" w:cs="宋体"/>
          <w:bCs/>
          <w:color w:val="auto"/>
          <w:sz w:val="24"/>
        </w:rPr>
      </w:pPr>
      <w:r>
        <w:rPr>
          <w:rFonts w:hint="eastAsia" w:ascii="宋体" w:hAnsi="宋体" w:eastAsia="宋体" w:cs="宋体"/>
          <w:bCs/>
          <w:color w:val="auto"/>
          <w:sz w:val="24"/>
        </w:rPr>
        <w:t>本竞争性谈判文件的最终解释权归常州市城投建设工程招标有限公司所有。</w:t>
      </w:r>
    </w:p>
    <w:p>
      <w:pPr>
        <w:jc w:val="center"/>
        <w:rPr>
          <w:rFonts w:hint="eastAsia" w:ascii="宋体" w:hAnsi="宋体" w:eastAsia="宋体" w:cs="宋体"/>
          <w:color w:val="auto"/>
          <w:sz w:val="24"/>
          <w:szCs w:val="24"/>
        </w:rPr>
      </w:pPr>
      <w:r>
        <w:rPr>
          <w:rFonts w:hint="eastAsia" w:ascii="宋体" w:hAnsi="宋体" w:eastAsia="宋体" w:cs="宋体"/>
          <w:b/>
          <w:color w:val="auto"/>
          <w:sz w:val="32"/>
        </w:rPr>
        <w:t>（全文完）</w:t>
      </w:r>
    </w:p>
    <w:p>
      <w:pPr>
        <w:rPr>
          <w:rFonts w:hint="eastAsia" w:ascii="宋体" w:hAnsi="宋体" w:eastAsia="宋体" w:cs="宋体"/>
          <w:color w:val="auto"/>
        </w:rPr>
      </w:pPr>
    </w:p>
    <w:sectPr>
      <w:headerReference r:id="rId5" w:type="first"/>
      <w:headerReference r:id="rId3" w:type="default"/>
      <w:footerReference r:id="rId6" w:type="default"/>
      <w:headerReference r:id="rId4" w:type="even"/>
      <w:footerReference r:id="rId7" w:type="even"/>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altName w:val="Nyala"/>
    <w:panose1 w:val="02040604050505020304"/>
    <w:charset w:val="00"/>
    <w:family w:val="roman"/>
    <w:pitch w:val="default"/>
    <w:sig w:usb0="00000000" w:usb1="00000000" w:usb2="00000000" w:usb3="00000000" w:csb0="2000009F" w:csb1="DFD7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Nyala">
    <w:panose1 w:val="02000504070300020003"/>
    <w:charset w:val="00"/>
    <w:family w:val="auto"/>
    <w:pitch w:val="default"/>
    <w:sig w:usb0="A000006F" w:usb1="00000000"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rPr>
        <w:rFonts w:ascii="仿宋_GB2312" w:hAnsi="宋体" w:eastAsia="仿宋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32</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32</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52"/>
      </w:rPr>
    </w:pPr>
    <w:r>
      <w:fldChar w:fldCharType="begin"/>
    </w:r>
    <w:r>
      <w:rPr>
        <w:rStyle w:val="52"/>
      </w:rPr>
      <w:instrText xml:space="preserve">PAGE  </w:instrText>
    </w:r>
    <w:r>
      <w:fldChar w:fldCharType="end"/>
    </w:r>
  </w:p>
  <w:p>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pict>
        <v:shape id="WordPictureWatermark6388136" o:spid="_x0000_s2054" o:spt="75" type="#_x0000_t75" style="position:absolute;left:0pt;height:425.3pt;width:425.3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1" gain="19661f" blacklevel="22938f" o:title="标志"/>
          <o:lock v:ext="edit" aspectratio="t"/>
        </v:shape>
      </w:pict>
    </w:r>
    <w:r>
      <w:rPr>
        <w:rFonts w:hint="eastAsia"/>
      </w:rPr>
      <w:t>常州</w:t>
    </w:r>
    <w:r>
      <w:t>城投建设工程招标有限公司</w:t>
    </w:r>
    <w:r>
      <w:rPr>
        <w:rFonts w:hint="eastAsia"/>
      </w:rPr>
      <w:t>竞争性谈判</w:t>
    </w:r>
    <w: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WordPictureWatermark6388135" o:spid="_x0000_s2053" o:spt="75" type="#_x0000_t75" style="position:absolute;left:0pt;height:425.3pt;width:425.3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1" gain="19661f" blacklevel="22938f" o:title="标志"/>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WordPictureWatermark6388134" o:spid="_x0000_s2052" o:spt="75" type="#_x0000_t75" style="position:absolute;left:0pt;height:425.3pt;width:425.3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标志"/>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ulTrailSpace/>
    <w:doNotExpandShiftReturn/>
    <w:adjustLineHeightInTable/>
    <w:useFELayout/>
    <w:compatSetting w:name="compatibilityMode" w:uri="http://schemas.microsoft.com/office/word" w:val="12"/>
  </w:compat>
  <w:rsids>
    <w:rsidRoot w:val="00E937CE"/>
    <w:rsid w:val="0000020E"/>
    <w:rsid w:val="0000087D"/>
    <w:rsid w:val="00014697"/>
    <w:rsid w:val="00015726"/>
    <w:rsid w:val="00021A28"/>
    <w:rsid w:val="00022736"/>
    <w:rsid w:val="00025AD8"/>
    <w:rsid w:val="00027113"/>
    <w:rsid w:val="00031352"/>
    <w:rsid w:val="00031D9E"/>
    <w:rsid w:val="00033683"/>
    <w:rsid w:val="000362E2"/>
    <w:rsid w:val="00037EE5"/>
    <w:rsid w:val="000400AF"/>
    <w:rsid w:val="00052763"/>
    <w:rsid w:val="0005295F"/>
    <w:rsid w:val="0005783A"/>
    <w:rsid w:val="0006059F"/>
    <w:rsid w:val="00062B13"/>
    <w:rsid w:val="00064468"/>
    <w:rsid w:val="00074403"/>
    <w:rsid w:val="000773BD"/>
    <w:rsid w:val="00080BEF"/>
    <w:rsid w:val="00082FBD"/>
    <w:rsid w:val="00091073"/>
    <w:rsid w:val="00094B97"/>
    <w:rsid w:val="00096808"/>
    <w:rsid w:val="000A46C6"/>
    <w:rsid w:val="000A6106"/>
    <w:rsid w:val="000A7D63"/>
    <w:rsid w:val="000B0A33"/>
    <w:rsid w:val="000B6F7C"/>
    <w:rsid w:val="000C19A5"/>
    <w:rsid w:val="000C1B33"/>
    <w:rsid w:val="000D25CF"/>
    <w:rsid w:val="000D3694"/>
    <w:rsid w:val="000D3930"/>
    <w:rsid w:val="000D7DF9"/>
    <w:rsid w:val="000E08DF"/>
    <w:rsid w:val="000E17FF"/>
    <w:rsid w:val="000E1FCD"/>
    <w:rsid w:val="000E4B87"/>
    <w:rsid w:val="000E4EF7"/>
    <w:rsid w:val="000F5B78"/>
    <w:rsid w:val="000F75F5"/>
    <w:rsid w:val="0010064D"/>
    <w:rsid w:val="0011051D"/>
    <w:rsid w:val="00110C86"/>
    <w:rsid w:val="001118F3"/>
    <w:rsid w:val="00113BC7"/>
    <w:rsid w:val="00121D1D"/>
    <w:rsid w:val="001260CA"/>
    <w:rsid w:val="00132A3C"/>
    <w:rsid w:val="00134A1D"/>
    <w:rsid w:val="00141D6F"/>
    <w:rsid w:val="00154203"/>
    <w:rsid w:val="00156C59"/>
    <w:rsid w:val="00165E1D"/>
    <w:rsid w:val="00166978"/>
    <w:rsid w:val="001673E7"/>
    <w:rsid w:val="00167974"/>
    <w:rsid w:val="00167E08"/>
    <w:rsid w:val="00171A88"/>
    <w:rsid w:val="00172903"/>
    <w:rsid w:val="00172EAC"/>
    <w:rsid w:val="0017352F"/>
    <w:rsid w:val="00197869"/>
    <w:rsid w:val="001B007E"/>
    <w:rsid w:val="001B19F7"/>
    <w:rsid w:val="001C00FB"/>
    <w:rsid w:val="001C3A68"/>
    <w:rsid w:val="001C3DD6"/>
    <w:rsid w:val="001C764D"/>
    <w:rsid w:val="001D450E"/>
    <w:rsid w:val="001D7009"/>
    <w:rsid w:val="001D7A92"/>
    <w:rsid w:val="001E0EEA"/>
    <w:rsid w:val="001E3076"/>
    <w:rsid w:val="001E5028"/>
    <w:rsid w:val="001F1C79"/>
    <w:rsid w:val="00202527"/>
    <w:rsid w:val="002042F2"/>
    <w:rsid w:val="00210FC2"/>
    <w:rsid w:val="002120C2"/>
    <w:rsid w:val="00213A25"/>
    <w:rsid w:val="0022480A"/>
    <w:rsid w:val="00232FCD"/>
    <w:rsid w:val="0023309A"/>
    <w:rsid w:val="00242599"/>
    <w:rsid w:val="002472E5"/>
    <w:rsid w:val="00247710"/>
    <w:rsid w:val="0026034A"/>
    <w:rsid w:val="00263D61"/>
    <w:rsid w:val="00266CFA"/>
    <w:rsid w:val="002749DA"/>
    <w:rsid w:val="0027508A"/>
    <w:rsid w:val="0027765F"/>
    <w:rsid w:val="00277ADE"/>
    <w:rsid w:val="00285FEF"/>
    <w:rsid w:val="002A30FB"/>
    <w:rsid w:val="002A6B32"/>
    <w:rsid w:val="002A7B64"/>
    <w:rsid w:val="002B30F8"/>
    <w:rsid w:val="002B4A1B"/>
    <w:rsid w:val="002C030A"/>
    <w:rsid w:val="002C24F9"/>
    <w:rsid w:val="002C2C7A"/>
    <w:rsid w:val="002C3223"/>
    <w:rsid w:val="002C484D"/>
    <w:rsid w:val="002C7E8A"/>
    <w:rsid w:val="002D1E5D"/>
    <w:rsid w:val="002D29AF"/>
    <w:rsid w:val="002F220D"/>
    <w:rsid w:val="002F61FB"/>
    <w:rsid w:val="00302C7F"/>
    <w:rsid w:val="00303C56"/>
    <w:rsid w:val="00313F32"/>
    <w:rsid w:val="003221C2"/>
    <w:rsid w:val="00324022"/>
    <w:rsid w:val="00333A63"/>
    <w:rsid w:val="00334015"/>
    <w:rsid w:val="00337143"/>
    <w:rsid w:val="00341288"/>
    <w:rsid w:val="00345DA0"/>
    <w:rsid w:val="003477F7"/>
    <w:rsid w:val="00347E49"/>
    <w:rsid w:val="003513FF"/>
    <w:rsid w:val="00356B2E"/>
    <w:rsid w:val="0037186A"/>
    <w:rsid w:val="00386B30"/>
    <w:rsid w:val="0039207C"/>
    <w:rsid w:val="003943D6"/>
    <w:rsid w:val="003A5212"/>
    <w:rsid w:val="003B18FB"/>
    <w:rsid w:val="003B2602"/>
    <w:rsid w:val="003B5164"/>
    <w:rsid w:val="003B66C3"/>
    <w:rsid w:val="003C091A"/>
    <w:rsid w:val="003C2855"/>
    <w:rsid w:val="003C35DD"/>
    <w:rsid w:val="003D1CDB"/>
    <w:rsid w:val="003D5B83"/>
    <w:rsid w:val="003D774E"/>
    <w:rsid w:val="003E04FD"/>
    <w:rsid w:val="003E3E22"/>
    <w:rsid w:val="00400227"/>
    <w:rsid w:val="0040022F"/>
    <w:rsid w:val="00402229"/>
    <w:rsid w:val="00405D93"/>
    <w:rsid w:val="0041101E"/>
    <w:rsid w:val="004137F3"/>
    <w:rsid w:val="00414FF4"/>
    <w:rsid w:val="00415602"/>
    <w:rsid w:val="0042044F"/>
    <w:rsid w:val="00425BB5"/>
    <w:rsid w:val="00427FA8"/>
    <w:rsid w:val="004433C7"/>
    <w:rsid w:val="0044448A"/>
    <w:rsid w:val="00450C37"/>
    <w:rsid w:val="00451792"/>
    <w:rsid w:val="00454867"/>
    <w:rsid w:val="0047598B"/>
    <w:rsid w:val="004773D5"/>
    <w:rsid w:val="00485043"/>
    <w:rsid w:val="00490E88"/>
    <w:rsid w:val="004927AC"/>
    <w:rsid w:val="00492AC4"/>
    <w:rsid w:val="004944F6"/>
    <w:rsid w:val="004A1896"/>
    <w:rsid w:val="004A3382"/>
    <w:rsid w:val="004A5EAA"/>
    <w:rsid w:val="004A7C9A"/>
    <w:rsid w:val="004B2153"/>
    <w:rsid w:val="004B46BE"/>
    <w:rsid w:val="004B756D"/>
    <w:rsid w:val="004C15C1"/>
    <w:rsid w:val="004D2B9B"/>
    <w:rsid w:val="004D5E6A"/>
    <w:rsid w:val="004D7D57"/>
    <w:rsid w:val="004E5AD4"/>
    <w:rsid w:val="004F12BA"/>
    <w:rsid w:val="004F27A1"/>
    <w:rsid w:val="004F30CC"/>
    <w:rsid w:val="004F47C6"/>
    <w:rsid w:val="004F544B"/>
    <w:rsid w:val="00501DC3"/>
    <w:rsid w:val="00504DE6"/>
    <w:rsid w:val="00512DE9"/>
    <w:rsid w:val="005421D2"/>
    <w:rsid w:val="005464E8"/>
    <w:rsid w:val="0054726A"/>
    <w:rsid w:val="00551636"/>
    <w:rsid w:val="005516A4"/>
    <w:rsid w:val="00554027"/>
    <w:rsid w:val="005541D4"/>
    <w:rsid w:val="00556212"/>
    <w:rsid w:val="005650A3"/>
    <w:rsid w:val="005661CE"/>
    <w:rsid w:val="00571084"/>
    <w:rsid w:val="00571CB0"/>
    <w:rsid w:val="00571F65"/>
    <w:rsid w:val="005756EF"/>
    <w:rsid w:val="00575A46"/>
    <w:rsid w:val="0057623B"/>
    <w:rsid w:val="0057795C"/>
    <w:rsid w:val="0058076B"/>
    <w:rsid w:val="005866EE"/>
    <w:rsid w:val="00590EB4"/>
    <w:rsid w:val="0059325C"/>
    <w:rsid w:val="00593FC3"/>
    <w:rsid w:val="005959ED"/>
    <w:rsid w:val="005B0394"/>
    <w:rsid w:val="005B2C04"/>
    <w:rsid w:val="005C008F"/>
    <w:rsid w:val="005C2F13"/>
    <w:rsid w:val="005C2F58"/>
    <w:rsid w:val="005C35E3"/>
    <w:rsid w:val="005C3FED"/>
    <w:rsid w:val="005C6F23"/>
    <w:rsid w:val="005D1D04"/>
    <w:rsid w:val="005D5874"/>
    <w:rsid w:val="005E0849"/>
    <w:rsid w:val="005E0DC5"/>
    <w:rsid w:val="005E7DC0"/>
    <w:rsid w:val="005F54C8"/>
    <w:rsid w:val="005F6696"/>
    <w:rsid w:val="005F6BB0"/>
    <w:rsid w:val="005F77FE"/>
    <w:rsid w:val="0060158F"/>
    <w:rsid w:val="00603C61"/>
    <w:rsid w:val="006074CE"/>
    <w:rsid w:val="00612619"/>
    <w:rsid w:val="00614241"/>
    <w:rsid w:val="006204D9"/>
    <w:rsid w:val="006228D2"/>
    <w:rsid w:val="006338D3"/>
    <w:rsid w:val="00644D03"/>
    <w:rsid w:val="00645153"/>
    <w:rsid w:val="00651A01"/>
    <w:rsid w:val="00654A58"/>
    <w:rsid w:val="006628B6"/>
    <w:rsid w:val="006629A9"/>
    <w:rsid w:val="00664303"/>
    <w:rsid w:val="00664A15"/>
    <w:rsid w:val="0066529C"/>
    <w:rsid w:val="006724B6"/>
    <w:rsid w:val="006763C4"/>
    <w:rsid w:val="006776F4"/>
    <w:rsid w:val="00680D29"/>
    <w:rsid w:val="00682E83"/>
    <w:rsid w:val="00685D6F"/>
    <w:rsid w:val="00685FFE"/>
    <w:rsid w:val="00690403"/>
    <w:rsid w:val="0069184F"/>
    <w:rsid w:val="006925B8"/>
    <w:rsid w:val="00692769"/>
    <w:rsid w:val="00695B63"/>
    <w:rsid w:val="006A246F"/>
    <w:rsid w:val="006A67D9"/>
    <w:rsid w:val="006B374A"/>
    <w:rsid w:val="006B3C52"/>
    <w:rsid w:val="006D1CCF"/>
    <w:rsid w:val="006D65E4"/>
    <w:rsid w:val="006E04AE"/>
    <w:rsid w:val="006E612B"/>
    <w:rsid w:val="006E63FE"/>
    <w:rsid w:val="006F3ECF"/>
    <w:rsid w:val="006F74DE"/>
    <w:rsid w:val="00703916"/>
    <w:rsid w:val="007057D7"/>
    <w:rsid w:val="00706F6B"/>
    <w:rsid w:val="007079B2"/>
    <w:rsid w:val="0071123F"/>
    <w:rsid w:val="007135CC"/>
    <w:rsid w:val="00715FA8"/>
    <w:rsid w:val="0072290A"/>
    <w:rsid w:val="00727423"/>
    <w:rsid w:val="00731B9B"/>
    <w:rsid w:val="007340CA"/>
    <w:rsid w:val="00734418"/>
    <w:rsid w:val="0073477E"/>
    <w:rsid w:val="007348B4"/>
    <w:rsid w:val="00742E22"/>
    <w:rsid w:val="00744C88"/>
    <w:rsid w:val="007516C1"/>
    <w:rsid w:val="007534F6"/>
    <w:rsid w:val="007575BA"/>
    <w:rsid w:val="007602FF"/>
    <w:rsid w:val="007608FE"/>
    <w:rsid w:val="00761073"/>
    <w:rsid w:val="007626A0"/>
    <w:rsid w:val="00763489"/>
    <w:rsid w:val="00765EC9"/>
    <w:rsid w:val="00766804"/>
    <w:rsid w:val="00770320"/>
    <w:rsid w:val="00776049"/>
    <w:rsid w:val="007765C1"/>
    <w:rsid w:val="00776729"/>
    <w:rsid w:val="00783F92"/>
    <w:rsid w:val="007860B7"/>
    <w:rsid w:val="00790294"/>
    <w:rsid w:val="00790432"/>
    <w:rsid w:val="0079178C"/>
    <w:rsid w:val="00792327"/>
    <w:rsid w:val="0079762A"/>
    <w:rsid w:val="007A2C2F"/>
    <w:rsid w:val="007A316C"/>
    <w:rsid w:val="007A483E"/>
    <w:rsid w:val="007A6DDA"/>
    <w:rsid w:val="007B0053"/>
    <w:rsid w:val="007B4F3B"/>
    <w:rsid w:val="007B59D1"/>
    <w:rsid w:val="007C5AF7"/>
    <w:rsid w:val="007C7B43"/>
    <w:rsid w:val="007D07A0"/>
    <w:rsid w:val="007D361F"/>
    <w:rsid w:val="007D387B"/>
    <w:rsid w:val="007E0F98"/>
    <w:rsid w:val="007E267D"/>
    <w:rsid w:val="007E6AEB"/>
    <w:rsid w:val="007E73CA"/>
    <w:rsid w:val="007E73E2"/>
    <w:rsid w:val="007F0579"/>
    <w:rsid w:val="007F3033"/>
    <w:rsid w:val="007F3FAB"/>
    <w:rsid w:val="00807DF8"/>
    <w:rsid w:val="008177C8"/>
    <w:rsid w:val="0082199C"/>
    <w:rsid w:val="00827429"/>
    <w:rsid w:val="00831972"/>
    <w:rsid w:val="00840FB9"/>
    <w:rsid w:val="00841E4C"/>
    <w:rsid w:val="00842EFC"/>
    <w:rsid w:val="008459D0"/>
    <w:rsid w:val="00847A8A"/>
    <w:rsid w:val="00851E04"/>
    <w:rsid w:val="00853BCA"/>
    <w:rsid w:val="00862D08"/>
    <w:rsid w:val="0086511B"/>
    <w:rsid w:val="00880413"/>
    <w:rsid w:val="00882A19"/>
    <w:rsid w:val="00882C01"/>
    <w:rsid w:val="008831FB"/>
    <w:rsid w:val="008A19F0"/>
    <w:rsid w:val="008A487B"/>
    <w:rsid w:val="008B2D42"/>
    <w:rsid w:val="008B49E6"/>
    <w:rsid w:val="008B7BFA"/>
    <w:rsid w:val="008C0B52"/>
    <w:rsid w:val="008C1FFB"/>
    <w:rsid w:val="008C2512"/>
    <w:rsid w:val="008C5C2E"/>
    <w:rsid w:val="008D27F3"/>
    <w:rsid w:val="008E4EBC"/>
    <w:rsid w:val="008F020A"/>
    <w:rsid w:val="008F1B90"/>
    <w:rsid w:val="00904884"/>
    <w:rsid w:val="00915016"/>
    <w:rsid w:val="00921ABC"/>
    <w:rsid w:val="009243C7"/>
    <w:rsid w:val="00925C02"/>
    <w:rsid w:val="00925D20"/>
    <w:rsid w:val="009275A0"/>
    <w:rsid w:val="00932433"/>
    <w:rsid w:val="00934CB5"/>
    <w:rsid w:val="00941997"/>
    <w:rsid w:val="00942124"/>
    <w:rsid w:val="00943B14"/>
    <w:rsid w:val="00945234"/>
    <w:rsid w:val="00946F9E"/>
    <w:rsid w:val="009504E4"/>
    <w:rsid w:val="00963209"/>
    <w:rsid w:val="0096433A"/>
    <w:rsid w:val="00967DD6"/>
    <w:rsid w:val="00971C97"/>
    <w:rsid w:val="00980674"/>
    <w:rsid w:val="009847A3"/>
    <w:rsid w:val="00993315"/>
    <w:rsid w:val="00993B6B"/>
    <w:rsid w:val="00995AEA"/>
    <w:rsid w:val="009960A6"/>
    <w:rsid w:val="009964CA"/>
    <w:rsid w:val="009A15E2"/>
    <w:rsid w:val="009A1A5F"/>
    <w:rsid w:val="009B1E2B"/>
    <w:rsid w:val="009B72D0"/>
    <w:rsid w:val="009D0353"/>
    <w:rsid w:val="009D3388"/>
    <w:rsid w:val="009F501D"/>
    <w:rsid w:val="00A051E1"/>
    <w:rsid w:val="00A054A4"/>
    <w:rsid w:val="00A113AA"/>
    <w:rsid w:val="00A1185C"/>
    <w:rsid w:val="00A1398D"/>
    <w:rsid w:val="00A13BE0"/>
    <w:rsid w:val="00A1415F"/>
    <w:rsid w:val="00A16641"/>
    <w:rsid w:val="00A23546"/>
    <w:rsid w:val="00A30517"/>
    <w:rsid w:val="00A371CF"/>
    <w:rsid w:val="00A4323F"/>
    <w:rsid w:val="00A44777"/>
    <w:rsid w:val="00A44B7C"/>
    <w:rsid w:val="00A477E5"/>
    <w:rsid w:val="00A5793F"/>
    <w:rsid w:val="00A61053"/>
    <w:rsid w:val="00A61C0E"/>
    <w:rsid w:val="00A61F06"/>
    <w:rsid w:val="00A73E6D"/>
    <w:rsid w:val="00A8259B"/>
    <w:rsid w:val="00A82EB0"/>
    <w:rsid w:val="00A87DF3"/>
    <w:rsid w:val="00A9069B"/>
    <w:rsid w:val="00A95E94"/>
    <w:rsid w:val="00AA2F75"/>
    <w:rsid w:val="00AA3097"/>
    <w:rsid w:val="00AA6613"/>
    <w:rsid w:val="00AB3719"/>
    <w:rsid w:val="00AC4E0E"/>
    <w:rsid w:val="00AC4FF5"/>
    <w:rsid w:val="00AD14BE"/>
    <w:rsid w:val="00AD4C39"/>
    <w:rsid w:val="00AD78AF"/>
    <w:rsid w:val="00AE1260"/>
    <w:rsid w:val="00AE36FD"/>
    <w:rsid w:val="00AE4947"/>
    <w:rsid w:val="00AE5085"/>
    <w:rsid w:val="00AE60E7"/>
    <w:rsid w:val="00AE68FB"/>
    <w:rsid w:val="00AF0CF6"/>
    <w:rsid w:val="00AF2C0A"/>
    <w:rsid w:val="00AF3FA0"/>
    <w:rsid w:val="00AF5587"/>
    <w:rsid w:val="00B049A6"/>
    <w:rsid w:val="00B06014"/>
    <w:rsid w:val="00B06F8F"/>
    <w:rsid w:val="00B1119D"/>
    <w:rsid w:val="00B123C7"/>
    <w:rsid w:val="00B1336D"/>
    <w:rsid w:val="00B13E27"/>
    <w:rsid w:val="00B144D2"/>
    <w:rsid w:val="00B16CBB"/>
    <w:rsid w:val="00B26522"/>
    <w:rsid w:val="00B356FB"/>
    <w:rsid w:val="00B35EFF"/>
    <w:rsid w:val="00B43A54"/>
    <w:rsid w:val="00B55D1C"/>
    <w:rsid w:val="00B5677F"/>
    <w:rsid w:val="00B601B1"/>
    <w:rsid w:val="00B63A6E"/>
    <w:rsid w:val="00B6458B"/>
    <w:rsid w:val="00B64F1C"/>
    <w:rsid w:val="00B743B4"/>
    <w:rsid w:val="00B74A1B"/>
    <w:rsid w:val="00B803DE"/>
    <w:rsid w:val="00B84568"/>
    <w:rsid w:val="00B85831"/>
    <w:rsid w:val="00B860CA"/>
    <w:rsid w:val="00B93885"/>
    <w:rsid w:val="00BA145D"/>
    <w:rsid w:val="00BA14A0"/>
    <w:rsid w:val="00BA2EA9"/>
    <w:rsid w:val="00BA404F"/>
    <w:rsid w:val="00BA55D9"/>
    <w:rsid w:val="00BB2020"/>
    <w:rsid w:val="00BC1206"/>
    <w:rsid w:val="00BC2F12"/>
    <w:rsid w:val="00BC2FAB"/>
    <w:rsid w:val="00BD1943"/>
    <w:rsid w:val="00BD1A1E"/>
    <w:rsid w:val="00BD6A6A"/>
    <w:rsid w:val="00BE660A"/>
    <w:rsid w:val="00BF1FB4"/>
    <w:rsid w:val="00BF22A3"/>
    <w:rsid w:val="00BF231A"/>
    <w:rsid w:val="00BF2E7F"/>
    <w:rsid w:val="00BF313A"/>
    <w:rsid w:val="00C014F1"/>
    <w:rsid w:val="00C06032"/>
    <w:rsid w:val="00C106E4"/>
    <w:rsid w:val="00C15C4F"/>
    <w:rsid w:val="00C16ACA"/>
    <w:rsid w:val="00C179AF"/>
    <w:rsid w:val="00C208FC"/>
    <w:rsid w:val="00C3105D"/>
    <w:rsid w:val="00C31D2F"/>
    <w:rsid w:val="00C31F3D"/>
    <w:rsid w:val="00C40DA3"/>
    <w:rsid w:val="00C42733"/>
    <w:rsid w:val="00C43A2A"/>
    <w:rsid w:val="00C46BC1"/>
    <w:rsid w:val="00C51645"/>
    <w:rsid w:val="00C53B3B"/>
    <w:rsid w:val="00C6050B"/>
    <w:rsid w:val="00C6099E"/>
    <w:rsid w:val="00C609D5"/>
    <w:rsid w:val="00C63A28"/>
    <w:rsid w:val="00C6597B"/>
    <w:rsid w:val="00C735BC"/>
    <w:rsid w:val="00C772FE"/>
    <w:rsid w:val="00C81B43"/>
    <w:rsid w:val="00C83DDA"/>
    <w:rsid w:val="00C85891"/>
    <w:rsid w:val="00C87F49"/>
    <w:rsid w:val="00C90014"/>
    <w:rsid w:val="00C9009E"/>
    <w:rsid w:val="00C93F3E"/>
    <w:rsid w:val="00C95033"/>
    <w:rsid w:val="00C957F6"/>
    <w:rsid w:val="00CA2EF7"/>
    <w:rsid w:val="00CA5133"/>
    <w:rsid w:val="00CA6455"/>
    <w:rsid w:val="00CB2444"/>
    <w:rsid w:val="00CB5E0C"/>
    <w:rsid w:val="00CC2906"/>
    <w:rsid w:val="00CC5845"/>
    <w:rsid w:val="00CC6546"/>
    <w:rsid w:val="00CC786F"/>
    <w:rsid w:val="00CE66CB"/>
    <w:rsid w:val="00CF2016"/>
    <w:rsid w:val="00D014E9"/>
    <w:rsid w:val="00D1202C"/>
    <w:rsid w:val="00D223F3"/>
    <w:rsid w:val="00D22570"/>
    <w:rsid w:val="00D271E5"/>
    <w:rsid w:val="00D30F41"/>
    <w:rsid w:val="00D32BAE"/>
    <w:rsid w:val="00D37650"/>
    <w:rsid w:val="00D37EC7"/>
    <w:rsid w:val="00D426E3"/>
    <w:rsid w:val="00D50127"/>
    <w:rsid w:val="00D521AD"/>
    <w:rsid w:val="00D55837"/>
    <w:rsid w:val="00D640FC"/>
    <w:rsid w:val="00D6678A"/>
    <w:rsid w:val="00D85651"/>
    <w:rsid w:val="00D85999"/>
    <w:rsid w:val="00D91E0F"/>
    <w:rsid w:val="00D92601"/>
    <w:rsid w:val="00D927E3"/>
    <w:rsid w:val="00DA15C0"/>
    <w:rsid w:val="00DA6612"/>
    <w:rsid w:val="00DA69EE"/>
    <w:rsid w:val="00DB560A"/>
    <w:rsid w:val="00DB7D08"/>
    <w:rsid w:val="00DC4CBE"/>
    <w:rsid w:val="00DC6031"/>
    <w:rsid w:val="00DD02E3"/>
    <w:rsid w:val="00DD3DF3"/>
    <w:rsid w:val="00DD4CA0"/>
    <w:rsid w:val="00DE2416"/>
    <w:rsid w:val="00DE3927"/>
    <w:rsid w:val="00DF0A2C"/>
    <w:rsid w:val="00DF10A7"/>
    <w:rsid w:val="00DF19DF"/>
    <w:rsid w:val="00DF3950"/>
    <w:rsid w:val="00DF7395"/>
    <w:rsid w:val="00DF7920"/>
    <w:rsid w:val="00E009B9"/>
    <w:rsid w:val="00E03D41"/>
    <w:rsid w:val="00E16E91"/>
    <w:rsid w:val="00E3083D"/>
    <w:rsid w:val="00E311BE"/>
    <w:rsid w:val="00E3247F"/>
    <w:rsid w:val="00E33168"/>
    <w:rsid w:val="00E33374"/>
    <w:rsid w:val="00E3545A"/>
    <w:rsid w:val="00E412A9"/>
    <w:rsid w:val="00E41B85"/>
    <w:rsid w:val="00E45D9D"/>
    <w:rsid w:val="00E5716A"/>
    <w:rsid w:val="00E630C8"/>
    <w:rsid w:val="00E761B9"/>
    <w:rsid w:val="00E86818"/>
    <w:rsid w:val="00E910F9"/>
    <w:rsid w:val="00E91D2B"/>
    <w:rsid w:val="00E937CE"/>
    <w:rsid w:val="00EA0CE9"/>
    <w:rsid w:val="00EA1A1A"/>
    <w:rsid w:val="00EA2673"/>
    <w:rsid w:val="00EA7253"/>
    <w:rsid w:val="00EC4EFB"/>
    <w:rsid w:val="00EC59F9"/>
    <w:rsid w:val="00ED0854"/>
    <w:rsid w:val="00ED1DC8"/>
    <w:rsid w:val="00ED47AF"/>
    <w:rsid w:val="00EE1BF4"/>
    <w:rsid w:val="00EE460F"/>
    <w:rsid w:val="00EF027B"/>
    <w:rsid w:val="00EF46DA"/>
    <w:rsid w:val="00EF4DD9"/>
    <w:rsid w:val="00F00911"/>
    <w:rsid w:val="00F011E9"/>
    <w:rsid w:val="00F01C02"/>
    <w:rsid w:val="00F03675"/>
    <w:rsid w:val="00F064EB"/>
    <w:rsid w:val="00F06849"/>
    <w:rsid w:val="00F10750"/>
    <w:rsid w:val="00F13A0D"/>
    <w:rsid w:val="00F14487"/>
    <w:rsid w:val="00F14787"/>
    <w:rsid w:val="00F14E71"/>
    <w:rsid w:val="00F16110"/>
    <w:rsid w:val="00F16D31"/>
    <w:rsid w:val="00F2565D"/>
    <w:rsid w:val="00F371B5"/>
    <w:rsid w:val="00F4107B"/>
    <w:rsid w:val="00F41705"/>
    <w:rsid w:val="00F44BD4"/>
    <w:rsid w:val="00F46988"/>
    <w:rsid w:val="00F46A79"/>
    <w:rsid w:val="00F52542"/>
    <w:rsid w:val="00F52F85"/>
    <w:rsid w:val="00F64D1A"/>
    <w:rsid w:val="00F73EC9"/>
    <w:rsid w:val="00F75611"/>
    <w:rsid w:val="00F80D15"/>
    <w:rsid w:val="00F92956"/>
    <w:rsid w:val="00F93D31"/>
    <w:rsid w:val="00F970D1"/>
    <w:rsid w:val="00FA2B9D"/>
    <w:rsid w:val="00FA6662"/>
    <w:rsid w:val="00FB0DE5"/>
    <w:rsid w:val="00FB2BB4"/>
    <w:rsid w:val="00FB3F66"/>
    <w:rsid w:val="00FC2CCE"/>
    <w:rsid w:val="00FC768F"/>
    <w:rsid w:val="00FD3CDA"/>
    <w:rsid w:val="00FD7E1B"/>
    <w:rsid w:val="00FE1F11"/>
    <w:rsid w:val="00FE3BEB"/>
    <w:rsid w:val="00FF1023"/>
    <w:rsid w:val="00FF25DB"/>
    <w:rsid w:val="00FF3A44"/>
    <w:rsid w:val="00FF4956"/>
    <w:rsid w:val="00FF5702"/>
    <w:rsid w:val="04293E40"/>
    <w:rsid w:val="04DC1E53"/>
    <w:rsid w:val="04F603C2"/>
    <w:rsid w:val="07507630"/>
    <w:rsid w:val="0F6E577E"/>
    <w:rsid w:val="12B7662E"/>
    <w:rsid w:val="16A34B6B"/>
    <w:rsid w:val="1BE42505"/>
    <w:rsid w:val="236F73CC"/>
    <w:rsid w:val="248723FA"/>
    <w:rsid w:val="25F06751"/>
    <w:rsid w:val="386D0937"/>
    <w:rsid w:val="387307DB"/>
    <w:rsid w:val="3D9E6269"/>
    <w:rsid w:val="42DF0A26"/>
    <w:rsid w:val="445D32E2"/>
    <w:rsid w:val="4A100613"/>
    <w:rsid w:val="4A327581"/>
    <w:rsid w:val="52104B4E"/>
    <w:rsid w:val="57CF0746"/>
    <w:rsid w:val="5B302AB4"/>
    <w:rsid w:val="62086601"/>
    <w:rsid w:val="634F2F9E"/>
    <w:rsid w:val="63C83460"/>
    <w:rsid w:val="65083EEA"/>
    <w:rsid w:val="677B4180"/>
    <w:rsid w:val="71181AB0"/>
    <w:rsid w:val="72DC3BAB"/>
    <w:rsid w:val="756141E1"/>
    <w:rsid w:val="789627A5"/>
    <w:rsid w:val="7907688C"/>
    <w:rsid w:val="7C024290"/>
    <w:rsid w:val="7CDA7BA3"/>
    <w:rsid w:val="7E3B0F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next w:val="1"/>
    <w:link w:val="27"/>
    <w:qFormat/>
    <w:uiPriority w:val="0"/>
    <w:pPr>
      <w:keepNext/>
      <w:jc w:val="center"/>
      <w:outlineLvl w:val="0"/>
    </w:pPr>
    <w:rPr>
      <w:rFonts w:ascii="黑体" w:hAnsi="Times New Roman" w:eastAsia="宋体" w:cs="Times New Roman"/>
      <w:b/>
      <w:kern w:val="2"/>
      <w:sz w:val="32"/>
      <w:szCs w:val="24"/>
      <w:lang w:val="en-US" w:eastAsia="zh-CN" w:bidi="ar-SA"/>
    </w:rPr>
  </w:style>
  <w:style w:type="paragraph" w:styleId="4">
    <w:name w:val="heading 2"/>
    <w:basedOn w:val="1"/>
    <w:next w:val="1"/>
    <w:link w:val="28"/>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link w:val="29"/>
    <w:qFormat/>
    <w:uiPriority w:val="0"/>
    <w:pPr>
      <w:keepNext/>
      <w:keepLines/>
      <w:spacing w:before="260" w:after="260" w:line="415" w:lineRule="auto"/>
      <w:outlineLvl w:val="2"/>
    </w:pPr>
    <w:rPr>
      <w:b/>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9"/>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6">
    <w:name w:val="Normal Indent"/>
    <w:basedOn w:val="1"/>
    <w:next w:val="1"/>
    <w:link w:val="55"/>
    <w:qFormat/>
    <w:uiPriority w:val="0"/>
    <w:pPr>
      <w:autoSpaceDE w:val="0"/>
      <w:autoSpaceDN w:val="0"/>
      <w:adjustRightInd w:val="0"/>
      <w:ind w:firstLine="420"/>
    </w:pPr>
    <w:rPr>
      <w:rFonts w:ascii="宋体"/>
      <w:sz w:val="24"/>
    </w:rPr>
  </w:style>
  <w:style w:type="paragraph" w:styleId="7">
    <w:name w:val="Document Map"/>
    <w:basedOn w:val="1"/>
    <w:link w:val="36"/>
    <w:unhideWhenUsed/>
    <w:qFormat/>
    <w:uiPriority w:val="99"/>
    <w:rPr>
      <w:rFonts w:ascii="宋体" w:hAnsiTheme="minorHAnsi" w:cstheme="minorBidi"/>
      <w:sz w:val="18"/>
      <w:szCs w:val="18"/>
    </w:rPr>
  </w:style>
  <w:style w:type="paragraph" w:styleId="8">
    <w:name w:val="annotation text"/>
    <w:basedOn w:val="1"/>
    <w:link w:val="37"/>
    <w:unhideWhenUsed/>
    <w:qFormat/>
    <w:uiPriority w:val="0"/>
    <w:pPr>
      <w:jc w:val="left"/>
    </w:pPr>
  </w:style>
  <w:style w:type="paragraph" w:styleId="9">
    <w:name w:val="Body Text Indent"/>
    <w:next w:val="1"/>
    <w:link w:val="40"/>
    <w:qFormat/>
    <w:uiPriority w:val="0"/>
    <w:pPr>
      <w:widowControl w:val="0"/>
      <w:spacing w:line="440" w:lineRule="exact"/>
      <w:ind w:firstLine="196" w:firstLineChars="196"/>
      <w:jc w:val="both"/>
    </w:pPr>
    <w:rPr>
      <w:rFonts w:ascii="宋体" w:hAnsi="Times New Roman" w:eastAsia="宋体" w:cs="Century"/>
      <w:spacing w:val="2"/>
      <w:kern w:val="2"/>
      <w:sz w:val="21"/>
      <w:szCs w:val="24"/>
      <w:lang w:val="en-US" w:eastAsia="zh-CN" w:bidi="ar-SA"/>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6"/>
    <w:link w:val="41"/>
    <w:qFormat/>
    <w:uiPriority w:val="99"/>
    <w:rPr>
      <w:rFonts w:ascii="宋体" w:hAnsi="宋体" w:eastAsiaTheme="minorEastAsia" w:cstheme="minorBidi"/>
      <w:sz w:val="26"/>
      <w:szCs w:val="22"/>
    </w:rPr>
  </w:style>
  <w:style w:type="paragraph" w:styleId="12">
    <w:name w:val="Date"/>
    <w:next w:val="1"/>
    <w:link w:val="42"/>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3"/>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4"/>
    <w:unhideWhenUsed/>
    <w:qFormat/>
    <w:uiPriority w:val="99"/>
    <w:rPr>
      <w:rFonts w:asciiTheme="minorHAnsi" w:hAnsiTheme="minorHAnsi" w:cstheme="minorBidi"/>
      <w:sz w:val="18"/>
      <w:szCs w:val="18"/>
    </w:rPr>
  </w:style>
  <w:style w:type="paragraph" w:styleId="15">
    <w:name w:val="footer"/>
    <w:basedOn w:val="1"/>
    <w:link w:val="45"/>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6"/>
    <w:qFormat/>
    <w:uiPriority w:val="0"/>
    <w:pPr>
      <w:pBdr>
        <w:bottom w:val="single" w:color="auto" w:sz="6" w:space="1"/>
      </w:pBdr>
      <w:tabs>
        <w:tab w:val="center" w:pos="4153"/>
        <w:tab w:val="right" w:pos="8307"/>
      </w:tabs>
      <w:snapToGrid w:val="0"/>
      <w:jc w:val="center"/>
    </w:pPr>
    <w:rPr>
      <w:sz w:val="18"/>
    </w:rPr>
  </w:style>
  <w:style w:type="paragraph" w:styleId="17">
    <w:name w:val="toc 1"/>
    <w:basedOn w:val="1"/>
    <w:next w:val="1"/>
    <w:unhideWhenUsed/>
    <w:qFormat/>
    <w:uiPriority w:val="39"/>
  </w:style>
  <w:style w:type="paragraph" w:styleId="18">
    <w:name w:val="toc 4"/>
    <w:basedOn w:val="1"/>
    <w:next w:val="1"/>
    <w:qFormat/>
    <w:uiPriority w:val="0"/>
    <w:pPr>
      <w:ind w:left="1260"/>
    </w:pPr>
  </w:style>
  <w:style w:type="paragraph" w:styleId="19">
    <w:name w:val="Normal (Web)"/>
    <w:basedOn w:val="1"/>
    <w:qFormat/>
    <w:uiPriority w:val="0"/>
    <w:pPr>
      <w:spacing w:before="100" w:beforeAutospacing="1" w:after="100" w:afterAutospacing="1"/>
      <w:jc w:val="left"/>
    </w:pPr>
    <w:rPr>
      <w:rFonts w:ascii="Calibri" w:hAnsi="Calibri"/>
      <w:kern w:val="0"/>
      <w:sz w:val="24"/>
      <w:szCs w:val="24"/>
    </w:rPr>
  </w:style>
  <w:style w:type="paragraph" w:styleId="20">
    <w:name w:val="annotation subject"/>
    <w:basedOn w:val="8"/>
    <w:next w:val="8"/>
    <w:link w:val="38"/>
    <w:unhideWhenUsed/>
    <w:qFormat/>
    <w:uiPriority w:val="99"/>
    <w:rPr>
      <w:rFonts w:asciiTheme="minorHAnsi" w:hAnsiTheme="minorHAnsi" w:cstheme="minorBidi"/>
      <w:b/>
      <w:bCs/>
      <w:szCs w:val="22"/>
    </w:rPr>
  </w:style>
  <w:style w:type="table" w:styleId="22">
    <w:name w:val="Table Grid"/>
    <w:basedOn w:val="21"/>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qFormat/>
    <w:uiPriority w:val="0"/>
  </w:style>
  <w:style w:type="character" w:styleId="25">
    <w:name w:val="Hyperlink"/>
    <w:qFormat/>
    <w:uiPriority w:val="99"/>
    <w:rPr>
      <w:color w:val="0000FF"/>
      <w:u w:val="single"/>
    </w:rPr>
  </w:style>
  <w:style w:type="character" w:styleId="26">
    <w:name w:val="annotation reference"/>
    <w:unhideWhenUsed/>
    <w:qFormat/>
    <w:uiPriority w:val="0"/>
    <w:rPr>
      <w:sz w:val="21"/>
      <w:szCs w:val="21"/>
    </w:rPr>
  </w:style>
  <w:style w:type="character" w:customStyle="1" w:styleId="27">
    <w:name w:val="标题 1 Char"/>
    <w:basedOn w:val="23"/>
    <w:link w:val="3"/>
    <w:qFormat/>
    <w:uiPriority w:val="0"/>
    <w:rPr>
      <w:rFonts w:ascii="黑体" w:hAnsi="Times New Roman" w:eastAsia="宋体" w:cs="Times New Roman"/>
      <w:b/>
      <w:kern w:val="2"/>
      <w:sz w:val="32"/>
      <w:szCs w:val="24"/>
    </w:rPr>
  </w:style>
  <w:style w:type="character" w:customStyle="1" w:styleId="28">
    <w:name w:val="标题 2 Char"/>
    <w:basedOn w:val="23"/>
    <w:link w:val="4"/>
    <w:qFormat/>
    <w:uiPriority w:val="0"/>
    <w:rPr>
      <w:rFonts w:ascii="Arial" w:hAnsi="Arial" w:eastAsia="黑体" w:cs="Times New Roman"/>
      <w:b/>
      <w:sz w:val="32"/>
      <w:szCs w:val="20"/>
    </w:rPr>
  </w:style>
  <w:style w:type="character" w:customStyle="1" w:styleId="29">
    <w:name w:val="标题 3 Char"/>
    <w:basedOn w:val="23"/>
    <w:link w:val="5"/>
    <w:qFormat/>
    <w:uiPriority w:val="0"/>
    <w:rPr>
      <w:rFonts w:ascii="Times New Roman" w:hAnsi="Times New Roman" w:eastAsia="宋体" w:cs="Times New Roman"/>
      <w:b/>
      <w:sz w:val="32"/>
      <w:szCs w:val="20"/>
    </w:rPr>
  </w:style>
  <w:style w:type="character" w:customStyle="1" w:styleId="30">
    <w:name w:val="批注框文本 Char"/>
    <w:qFormat/>
    <w:uiPriority w:val="99"/>
    <w:rPr>
      <w:rFonts w:eastAsia="宋体"/>
      <w:sz w:val="18"/>
      <w:szCs w:val="18"/>
    </w:rPr>
  </w:style>
  <w:style w:type="character" w:customStyle="1" w:styleId="31">
    <w:name w:val="批注主题 Char"/>
    <w:qFormat/>
    <w:uiPriority w:val="99"/>
    <w:rPr>
      <w:rFonts w:eastAsia="宋体"/>
      <w:b/>
      <w:bCs/>
    </w:rPr>
  </w:style>
  <w:style w:type="character" w:customStyle="1" w:styleId="32">
    <w:name w:val="文档结构图 Char"/>
    <w:qFormat/>
    <w:uiPriority w:val="99"/>
    <w:rPr>
      <w:rFonts w:ascii="宋体" w:eastAsia="宋体"/>
      <w:sz w:val="18"/>
      <w:szCs w:val="18"/>
    </w:rPr>
  </w:style>
  <w:style w:type="character" w:customStyle="1" w:styleId="33">
    <w:name w:val="批注文字 Char"/>
    <w:semiHidden/>
    <w:qFormat/>
    <w:uiPriority w:val="99"/>
    <w:rPr>
      <w:rFonts w:eastAsia="宋体"/>
      <w:kern w:val="2"/>
      <w:sz w:val="21"/>
    </w:rPr>
  </w:style>
  <w:style w:type="character" w:customStyle="1" w:styleId="34">
    <w:name w:val="页脚 Char"/>
    <w:qFormat/>
    <w:uiPriority w:val="0"/>
    <w:rPr>
      <w:rFonts w:eastAsia="宋体"/>
      <w:sz w:val="18"/>
    </w:rPr>
  </w:style>
  <w:style w:type="character" w:customStyle="1" w:styleId="35">
    <w:name w:val="纯文本 Char"/>
    <w:qFormat/>
    <w:uiPriority w:val="0"/>
    <w:rPr>
      <w:rFonts w:ascii="宋体" w:hAnsi="宋体"/>
      <w:sz w:val="26"/>
    </w:rPr>
  </w:style>
  <w:style w:type="character" w:customStyle="1" w:styleId="36">
    <w:name w:val="文档结构图 Char1"/>
    <w:basedOn w:val="23"/>
    <w:link w:val="7"/>
    <w:semiHidden/>
    <w:qFormat/>
    <w:uiPriority w:val="99"/>
    <w:rPr>
      <w:rFonts w:ascii="宋体" w:hAnsi="Times New Roman" w:eastAsia="宋体" w:cs="Times New Roman"/>
      <w:sz w:val="18"/>
      <w:szCs w:val="18"/>
    </w:rPr>
  </w:style>
  <w:style w:type="character" w:customStyle="1" w:styleId="37">
    <w:name w:val="批注文字 Char1"/>
    <w:basedOn w:val="23"/>
    <w:link w:val="8"/>
    <w:semiHidden/>
    <w:qFormat/>
    <w:uiPriority w:val="99"/>
    <w:rPr>
      <w:rFonts w:ascii="Times New Roman" w:hAnsi="Times New Roman" w:eastAsia="宋体" w:cs="Times New Roman"/>
      <w:szCs w:val="20"/>
    </w:rPr>
  </w:style>
  <w:style w:type="character" w:customStyle="1" w:styleId="38">
    <w:name w:val="批注主题 Char1"/>
    <w:basedOn w:val="37"/>
    <w:link w:val="20"/>
    <w:semiHidden/>
    <w:qFormat/>
    <w:uiPriority w:val="99"/>
    <w:rPr>
      <w:rFonts w:ascii="Times New Roman" w:hAnsi="Times New Roman" w:eastAsia="宋体" w:cs="Times New Roman"/>
      <w:b/>
      <w:bCs/>
      <w:szCs w:val="20"/>
    </w:rPr>
  </w:style>
  <w:style w:type="character" w:customStyle="1" w:styleId="39">
    <w:name w:val="正文文本 Char"/>
    <w:basedOn w:val="23"/>
    <w:link w:val="2"/>
    <w:qFormat/>
    <w:uiPriority w:val="0"/>
    <w:rPr>
      <w:rFonts w:ascii="Times New Roman" w:hAnsi="Times New Roman" w:eastAsia="宋体" w:cs="Times New Roman"/>
      <w:szCs w:val="24"/>
    </w:rPr>
  </w:style>
  <w:style w:type="character" w:customStyle="1" w:styleId="40">
    <w:name w:val="正文文本缩进 Char"/>
    <w:basedOn w:val="23"/>
    <w:link w:val="9"/>
    <w:qFormat/>
    <w:uiPriority w:val="0"/>
    <w:rPr>
      <w:rFonts w:ascii="宋体" w:hAnsi="Times New Roman" w:eastAsia="宋体" w:cs="Century"/>
      <w:spacing w:val="2"/>
      <w:szCs w:val="24"/>
    </w:rPr>
  </w:style>
  <w:style w:type="character" w:customStyle="1" w:styleId="41">
    <w:name w:val="纯文本 Char1"/>
    <w:basedOn w:val="23"/>
    <w:link w:val="11"/>
    <w:qFormat/>
    <w:uiPriority w:val="99"/>
    <w:rPr>
      <w:rFonts w:ascii="宋体" w:hAnsi="Courier New" w:eastAsia="宋体" w:cs="Courier New"/>
      <w:szCs w:val="21"/>
    </w:rPr>
  </w:style>
  <w:style w:type="character" w:customStyle="1" w:styleId="42">
    <w:name w:val="日期 Char"/>
    <w:basedOn w:val="23"/>
    <w:link w:val="12"/>
    <w:qFormat/>
    <w:uiPriority w:val="0"/>
    <w:rPr>
      <w:rFonts w:ascii="宋体" w:hAnsi="宋体" w:eastAsia="宋体" w:cs="Times New Roman"/>
      <w:sz w:val="24"/>
      <w:szCs w:val="20"/>
    </w:rPr>
  </w:style>
  <w:style w:type="character" w:customStyle="1" w:styleId="43">
    <w:name w:val="正文文本缩进 2 Char"/>
    <w:basedOn w:val="23"/>
    <w:link w:val="13"/>
    <w:qFormat/>
    <w:uiPriority w:val="0"/>
    <w:rPr>
      <w:rFonts w:ascii="Times New Roman" w:hAnsi="Times New Roman" w:eastAsia="宋体" w:cs="Times New Roman"/>
      <w:szCs w:val="24"/>
    </w:rPr>
  </w:style>
  <w:style w:type="character" w:customStyle="1" w:styleId="44">
    <w:name w:val="批注框文本 Char1"/>
    <w:basedOn w:val="23"/>
    <w:link w:val="14"/>
    <w:semiHidden/>
    <w:qFormat/>
    <w:uiPriority w:val="99"/>
    <w:rPr>
      <w:rFonts w:ascii="Times New Roman" w:hAnsi="Times New Roman" w:eastAsia="宋体" w:cs="Times New Roman"/>
      <w:sz w:val="18"/>
      <w:szCs w:val="18"/>
    </w:rPr>
  </w:style>
  <w:style w:type="character" w:customStyle="1" w:styleId="45">
    <w:name w:val="页脚 Char1"/>
    <w:basedOn w:val="23"/>
    <w:link w:val="15"/>
    <w:semiHidden/>
    <w:qFormat/>
    <w:uiPriority w:val="99"/>
    <w:rPr>
      <w:rFonts w:ascii="Times New Roman" w:hAnsi="Times New Roman" w:eastAsia="宋体" w:cs="Times New Roman"/>
      <w:sz w:val="18"/>
      <w:szCs w:val="18"/>
    </w:rPr>
  </w:style>
  <w:style w:type="character" w:customStyle="1" w:styleId="46">
    <w:name w:val="页眉 Char"/>
    <w:basedOn w:val="23"/>
    <w:link w:val="16"/>
    <w:qFormat/>
    <w:uiPriority w:val="0"/>
    <w:rPr>
      <w:rFonts w:ascii="Times New Roman" w:hAnsi="Times New Roman" w:eastAsia="宋体" w:cs="Times New Roman"/>
      <w:sz w:val="18"/>
      <w:szCs w:val="20"/>
    </w:rPr>
  </w:style>
  <w:style w:type="paragraph" w:customStyle="1" w:styleId="47">
    <w:name w:val="列出段落1"/>
    <w:basedOn w:val="1"/>
    <w:qFormat/>
    <w:uiPriority w:val="34"/>
    <w:pPr>
      <w:ind w:firstLine="420" w:firstLineChars="200"/>
    </w:pPr>
  </w:style>
  <w:style w:type="paragraph" w:customStyle="1" w:styleId="48">
    <w:name w:val="纯文本1"/>
    <w:next w:val="18"/>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49">
    <w:name w:val="列出段落11"/>
    <w:basedOn w:val="1"/>
    <w:qFormat/>
    <w:uiPriority w:val="99"/>
    <w:pPr>
      <w:ind w:firstLine="420" w:firstLineChars="200"/>
    </w:pPr>
  </w:style>
  <w:style w:type="paragraph" w:customStyle="1" w:styleId="50">
    <w:name w:val="正文文本缩进1"/>
    <w:basedOn w:val="1"/>
    <w:qFormat/>
    <w:uiPriority w:val="0"/>
    <w:pPr>
      <w:spacing w:line="200" w:lineRule="exact"/>
      <w:ind w:firstLine="301"/>
    </w:pPr>
    <w:rPr>
      <w:rFonts w:ascii="宋体" w:hAnsi="Courier New"/>
      <w:spacing w:val="-4"/>
      <w:sz w:val="18"/>
    </w:rPr>
  </w:style>
  <w:style w:type="paragraph" w:customStyle="1" w:styleId="51">
    <w:name w:val="正文文本缩进2"/>
    <w:basedOn w:val="1"/>
    <w:qFormat/>
    <w:uiPriority w:val="0"/>
    <w:pPr>
      <w:spacing w:line="200" w:lineRule="exact"/>
      <w:ind w:firstLine="301"/>
    </w:pPr>
    <w:rPr>
      <w:rFonts w:ascii="宋体" w:hAnsi="Courier New"/>
      <w:spacing w:val="-4"/>
      <w:kern w:val="0"/>
      <w:sz w:val="18"/>
    </w:rPr>
  </w:style>
  <w:style w:type="character" w:customStyle="1" w:styleId="52">
    <w:name w:val="页码1"/>
    <w:basedOn w:val="23"/>
    <w:qFormat/>
    <w:uiPriority w:val="0"/>
  </w:style>
  <w:style w:type="paragraph" w:customStyle="1" w:styleId="53">
    <w:name w:val="正文文本缩进21"/>
    <w:basedOn w:val="1"/>
    <w:qFormat/>
    <w:uiPriority w:val="0"/>
    <w:pPr>
      <w:spacing w:line="200" w:lineRule="exact"/>
      <w:ind w:firstLine="301"/>
    </w:pPr>
    <w:rPr>
      <w:rFonts w:ascii="宋体" w:hAnsi="Courier New"/>
      <w:spacing w:val="-4"/>
      <w:kern w:val="0"/>
      <w:sz w:val="18"/>
    </w:rPr>
  </w:style>
  <w:style w:type="paragraph" w:customStyle="1" w:styleId="54">
    <w:name w:val="修订1"/>
    <w:hidden/>
    <w:semiHidden/>
    <w:qFormat/>
    <w:uiPriority w:val="99"/>
    <w:rPr>
      <w:rFonts w:ascii="Times New Roman" w:hAnsi="Times New Roman" w:eastAsia="宋体" w:cs="Times New Roman"/>
      <w:kern w:val="2"/>
      <w:sz w:val="21"/>
      <w:lang w:val="en-US" w:eastAsia="zh-CN" w:bidi="ar-SA"/>
    </w:rPr>
  </w:style>
  <w:style w:type="character" w:customStyle="1" w:styleId="55">
    <w:name w:val="正文缩进 Char"/>
    <w:link w:val="6"/>
    <w:qFormat/>
    <w:uiPriority w:val="0"/>
    <w:rPr>
      <w:rFonts w:ascii="宋体" w:hAnsi="Times New Roman" w:eastAsia="宋体" w:cs="Times New Roman"/>
      <w:kern w:val="2"/>
      <w:sz w:val="24"/>
    </w:rPr>
  </w:style>
  <w:style w:type="paragraph" w:customStyle="1" w:styleId="56">
    <w:name w:val="Í¼±íÕýÎÄ"/>
    <w:basedOn w:val="1"/>
    <w:next w:val="6"/>
    <w:qFormat/>
    <w:uiPriority w:val="0"/>
    <w:pPr>
      <w:ind w:firstLine="420" w:firstLineChars="200"/>
    </w:pPr>
    <w:rPr>
      <w:sz w:val="24"/>
    </w:rPr>
  </w:style>
  <w:style w:type="paragraph" w:styleId="57">
    <w:name w:val="List Paragraph"/>
    <w:basedOn w:val="1"/>
    <w:qFormat/>
    <w:uiPriority w:val="34"/>
    <w:pPr>
      <w:ind w:firstLine="420" w:firstLineChars="200"/>
    </w:pPr>
    <w:rPr>
      <w:rFonts w:ascii="Calibri" w:hAnsi="Calibri"/>
      <w:szCs w:val="22"/>
    </w:rPr>
  </w:style>
  <w:style w:type="character" w:customStyle="1" w:styleId="58">
    <w:name w:val="font01"/>
    <w:qFormat/>
    <w:uiPriority w:val="0"/>
    <w:rPr>
      <w:rFonts w:hint="eastAsia" w:ascii="宋体" w:hAnsi="宋体" w:eastAsia="宋体" w:cs="宋体"/>
      <w:color w:val="000000"/>
      <w:sz w:val="24"/>
      <w:szCs w:val="24"/>
      <w:u w:val="none"/>
    </w:rPr>
  </w:style>
  <w:style w:type="paragraph" w:customStyle="1" w:styleId="59">
    <w:name w:val="纯文本2"/>
    <w:next w:val="18"/>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paragraph" w:customStyle="1" w:styleId="60">
    <w:name w:val="TOC Heading"/>
    <w:basedOn w:val="3"/>
    <w:next w:val="1"/>
    <w:semiHidden/>
    <w:unhideWhenUsed/>
    <w:qFormat/>
    <w:uiPriority w:val="39"/>
    <w:pPr>
      <w:keepLines/>
      <w:spacing w:before="480" w:line="276" w:lineRule="auto"/>
      <w:jc w:val="left"/>
      <w:outlineLvl w:val="9"/>
    </w:pPr>
    <w:rPr>
      <w:rFonts w:asciiTheme="majorHAnsi" w:hAnsiTheme="majorHAnsi" w:eastAsiaTheme="majorEastAsia" w:cstheme="majorBidi"/>
      <w:bCs/>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4"/>
    <customShpInfo spid="_x0000_s2053"/>
    <customShpInfo spid="_x0000_s2052"/>
    <customShpInfo spid="_x0000_s1043"/>
    <customShpInfo spid="_x0000_s1044"/>
    <customShpInfo spid="_x0000_s1045"/>
    <customShpInfo spid="_x0000_s1046"/>
    <customShpInfo spid="_x0000_s104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75D41B-16DB-411A-BB22-0DF857627E13}">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32</Pages>
  <Words>3712</Words>
  <Characters>21162</Characters>
  <Lines>176</Lines>
  <Paragraphs>49</Paragraphs>
  <TotalTime>2</TotalTime>
  <ScaleCrop>false</ScaleCrop>
  <LinksUpToDate>false</LinksUpToDate>
  <CharactersWithSpaces>24825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2017-08-15T11:35:00Z</dcterms:created>
  <dc:creator>王波</dc:creator>
  <cp:lastModifiedBy>兰馥郁</cp:lastModifiedBy>
  <cp:lastPrinted>2020-09-18T05:58:00Z</cp:lastPrinted>
  <dcterms:modified xsi:type="dcterms:W3CDTF">2020-09-21T04:44:57Z</dcterms:modified>
  <cp:revision>420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