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r>
        <w:drawing>
          <wp:anchor distT="0" distB="0" distL="114300" distR="114300" simplePos="0" relativeHeight="251682816" behindDoc="1" locked="0" layoutInCell="0" allowOverlap="1">
            <wp:simplePos x="0" y="0"/>
            <wp:positionH relativeFrom="margin">
              <wp:posOffset>-61595</wp:posOffset>
            </wp:positionH>
            <wp:positionV relativeFrom="margin">
              <wp:posOffset>1851025</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9" cstate="print">
                      <a:lum bright="70001" contrast="-70000"/>
                    </a:blip>
                    <a:stretch>
                      <a:fillRect/>
                    </a:stretch>
                  </pic:blipFill>
                  <pic:spPr>
                    <a:xfrm>
                      <a:off x="0" y="0"/>
                      <a:ext cx="5401310" cy="5401310"/>
                    </a:xfrm>
                    <a:prstGeom prst="rect">
                      <a:avLst/>
                    </a:prstGeom>
                    <a:noFill/>
                    <a:ln>
                      <a:noFill/>
                    </a:ln>
                  </pic:spPr>
                </pic:pic>
              </a:graphicData>
            </a:graphic>
          </wp:anchor>
        </w:drawing>
      </w: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竞争性谈判</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采购项目编号：CT-SJ-2020048</w:t>
      </w: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采购项目名称：</w:t>
      </w:r>
      <w:r>
        <w:rPr>
          <w:rFonts w:hint="eastAsia" w:asciiTheme="minorEastAsia" w:hAnsiTheme="minorEastAsia" w:eastAsiaTheme="minorEastAsia" w:cstheme="minorEastAsia"/>
          <w:bCs/>
          <w:sz w:val="28"/>
          <w:szCs w:val="32"/>
        </w:rPr>
        <w:t>课桌椅及办公台采购项目</w:t>
      </w:r>
    </w:p>
    <w:p>
      <w:pPr>
        <w:adjustRightInd w:val="0"/>
        <w:snapToGrid w:val="0"/>
        <w:spacing w:line="800" w:lineRule="exact"/>
        <w:ind w:firstLine="1700" w:firstLineChars="500"/>
        <w:rPr>
          <w:rFonts w:ascii="宋体" w:hAnsi="宋体"/>
          <w:bCs/>
          <w:sz w:val="28"/>
          <w:szCs w:val="32"/>
        </w:rPr>
      </w:pPr>
      <w:r>
        <w:rPr>
          <w:rFonts w:hint="eastAsia" w:ascii="宋体" w:hAnsi="宋体"/>
          <w:bCs/>
          <w:spacing w:val="30"/>
          <w:sz w:val="28"/>
          <w:szCs w:val="32"/>
        </w:rPr>
        <w:t>采购人名</w:t>
      </w:r>
      <w:r>
        <w:rPr>
          <w:rFonts w:hint="eastAsia" w:ascii="宋体" w:hAnsi="宋体"/>
          <w:bCs/>
          <w:sz w:val="28"/>
          <w:szCs w:val="32"/>
        </w:rPr>
        <w:t>称：</w:t>
      </w:r>
      <w:r>
        <w:rPr>
          <w:rFonts w:hint="eastAsia" w:asciiTheme="minorEastAsia" w:hAnsiTheme="minorEastAsia" w:eastAsiaTheme="minorEastAsia" w:cstheme="minorEastAsia"/>
          <w:bCs/>
          <w:sz w:val="28"/>
          <w:szCs w:val="32"/>
        </w:rPr>
        <w:t>常州市武进区林南小学</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sz w:val="36"/>
          <w:szCs w:val="36"/>
        </w:rPr>
      </w:pPr>
    </w:p>
    <w:p>
      <w:pPr>
        <w:jc w:val="center"/>
        <w:rPr>
          <w:rFonts w:ascii="宋体" w:hAnsi="宋体" w:cs="宋体"/>
          <w:b/>
          <w:sz w:val="30"/>
        </w:rPr>
      </w:pPr>
      <w:r>
        <w:rPr>
          <w:rFonts w:hint="eastAsia" w:asciiTheme="minorEastAsia" w:hAnsiTheme="minorEastAsia" w:eastAsiaTheme="minorEastAsia" w:cstheme="minorEastAsia"/>
          <w:w w:val="90"/>
          <w:sz w:val="44"/>
          <w:szCs w:val="44"/>
        </w:rPr>
        <w:t>二〇二〇年七月</w:t>
      </w:r>
    </w:p>
    <w:p>
      <w:pPr>
        <w:spacing w:before="100" w:after="240" w:line="500" w:lineRule="exact"/>
        <w:jc w:val="center"/>
        <w:rPr>
          <w:rFonts w:ascii="宋体" w:hAnsi="宋体" w:cs="宋体"/>
          <w:b/>
          <w:sz w:val="44"/>
          <w:szCs w:val="44"/>
        </w:rPr>
      </w:pPr>
    </w:p>
    <w:p>
      <w:pPr>
        <w:pStyle w:val="9"/>
        <w:ind w:firstLine="419"/>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5038988"/>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302"/>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"_Toc17536924" </w:instrText>
          </w:r>
          <w:r>
            <w:fldChar w:fldCharType="separate"/>
          </w:r>
          <w:r>
            <w:rPr>
              <w:rStyle w:val="25"/>
              <w:rFonts w:hint="eastAsia" w:asciiTheme="minorEastAsia" w:hAnsiTheme="minorEastAsia" w:eastAsiaTheme="minorEastAsia"/>
              <w:b/>
              <w:sz w:val="32"/>
              <w:szCs w:val="32"/>
            </w:rPr>
            <w:t>竞争性谈判公告</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_Toc17536924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3</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"_Toc17536925" </w:instrText>
          </w:r>
          <w:r>
            <w:fldChar w:fldCharType="separate"/>
          </w:r>
          <w:r>
            <w:rPr>
              <w:rStyle w:val="25"/>
              <w:rFonts w:hint="eastAsia" w:asciiTheme="minorEastAsia" w:hAnsiTheme="minorEastAsia" w:eastAsiaTheme="minorEastAsia"/>
              <w:b/>
              <w:sz w:val="32"/>
              <w:szCs w:val="32"/>
            </w:rPr>
            <w:t>第一章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总</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_Toc17536925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7</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"_Toc17536926" </w:instrText>
          </w:r>
          <w:r>
            <w:fldChar w:fldCharType="separate"/>
          </w:r>
          <w:r>
            <w:rPr>
              <w:rStyle w:val="25"/>
              <w:rFonts w:hint="eastAsia" w:asciiTheme="minorEastAsia" w:hAnsiTheme="minorEastAsia" w:eastAsiaTheme="minorEastAsia"/>
              <w:b/>
              <w:sz w:val="32"/>
              <w:szCs w:val="32"/>
            </w:rPr>
            <w:t>第二章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_Toc17536926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"_Toc17536927" </w:instrText>
          </w:r>
          <w:r>
            <w:fldChar w:fldCharType="separate"/>
          </w:r>
          <w:r>
            <w:rPr>
              <w:rStyle w:val="25"/>
              <w:rFonts w:hint="eastAsia" w:asciiTheme="minorEastAsia" w:hAnsiTheme="minorEastAsia" w:eastAsiaTheme="minorEastAsia"/>
              <w:b/>
              <w:sz w:val="32"/>
              <w:szCs w:val="32"/>
            </w:rPr>
            <w:t>第三章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合同主要条款</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_Toc17536927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18</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"_Toc17536928" </w:instrText>
          </w:r>
          <w:r>
            <w:fldChar w:fldCharType="separate"/>
          </w:r>
          <w:r>
            <w:rPr>
              <w:rStyle w:val="25"/>
              <w:rFonts w:hint="eastAsia" w:asciiTheme="minorEastAsia" w:hAnsiTheme="minorEastAsia" w:eastAsiaTheme="minorEastAsia"/>
              <w:b/>
              <w:sz w:val="32"/>
              <w:szCs w:val="32"/>
            </w:rPr>
            <w:t>第四章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_Toc17536928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23</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"_Toc17536929" </w:instrText>
          </w:r>
          <w:r>
            <w:fldChar w:fldCharType="separate"/>
          </w:r>
          <w:r>
            <w:rPr>
              <w:rStyle w:val="25"/>
              <w:rFonts w:hint="eastAsia" w:asciiTheme="minorEastAsia" w:hAnsiTheme="minorEastAsia" w:eastAsiaTheme="minorEastAsia"/>
              <w:b/>
              <w:sz w:val="32"/>
              <w:szCs w:val="32"/>
            </w:rPr>
            <w:t>第五章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谈判响应文件的组成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_Toc17536929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24</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"_Toc17536930" </w:instrText>
          </w:r>
          <w:r>
            <w:fldChar w:fldCharType="separate"/>
          </w:r>
          <w:r>
            <w:rPr>
              <w:rStyle w:val="25"/>
              <w:rFonts w:hint="eastAsia" w:asciiTheme="minorEastAsia" w:hAnsiTheme="minorEastAsia" w:eastAsiaTheme="minorEastAsia"/>
              <w:b/>
              <w:sz w:val="32"/>
              <w:szCs w:val="32"/>
            </w:rPr>
            <w:t>第六章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附</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_Toc17536930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302"/>
            </w:tabs>
            <w:spacing w:line="720" w:lineRule="auto"/>
            <w:rPr>
              <w:rFonts w:asciiTheme="minorHAnsi" w:hAnsiTheme="minorHAnsi" w:eastAsiaTheme="minorEastAsia" w:cstheme="minorBidi"/>
              <w:szCs w:val="22"/>
            </w:rPr>
          </w:pPr>
          <w:r>
            <w:fldChar w:fldCharType="begin"/>
          </w:r>
          <w:r>
            <w:instrText xml:space="preserve"> HYPERLINK \l "_Toc17536931" </w:instrText>
          </w:r>
          <w:r>
            <w:fldChar w:fldCharType="separate"/>
          </w:r>
          <w:r>
            <w:rPr>
              <w:rStyle w:val="25"/>
              <w:rFonts w:hint="eastAsia" w:asciiTheme="minorEastAsia" w:hAnsiTheme="minorEastAsia" w:eastAsiaTheme="minorEastAsia"/>
              <w:b/>
              <w:sz w:val="32"/>
              <w:szCs w:val="32"/>
            </w:rPr>
            <w:t>友</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情</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提</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_Toc17536931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31</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240" w:line="500" w:lineRule="exact"/>
        <w:jc w:val="center"/>
        <w:rPr>
          <w:rFonts w:ascii="宋体" w:hAnsi="宋体" w:cs="宋体"/>
          <w:b/>
          <w:sz w:val="44"/>
          <w:szCs w:val="4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pStyle w:val="3"/>
        <w:adjustRightInd w:val="0"/>
        <w:snapToGrid w:val="0"/>
        <w:rPr>
          <w:rFonts w:hint="eastAsia" w:asciiTheme="minorEastAsia" w:hAnsiTheme="minorEastAsia" w:eastAsiaTheme="minorEastAsia" w:cstheme="minorEastAsia"/>
        </w:rPr>
      </w:pPr>
      <w:bookmarkStart w:id="0" w:name="_Toc17536322"/>
      <w:bookmarkStart w:id="1" w:name="_Toc17536924"/>
      <w:r>
        <w:rPr>
          <w:rFonts w:hint="eastAsia" w:asciiTheme="minorEastAsia" w:hAnsiTheme="minorEastAsia" w:eastAsiaTheme="minorEastAsia" w:cstheme="minorEastAsia"/>
        </w:rPr>
        <w:t>常州市武进区林南小学课桌椅及办公台采购项目</w:t>
      </w:r>
      <w:bookmarkEnd w:id="0"/>
    </w:p>
    <w:p>
      <w:pPr>
        <w:pStyle w:val="3"/>
        <w:keepNext/>
        <w:keepLines w:val="0"/>
        <w:pageBreakBefore w:val="0"/>
        <w:widowControl/>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rPr>
        <w:t>竞争性谈判公告</w:t>
      </w:r>
      <w:bookmarkEnd w:id="1"/>
    </w:p>
    <w:p>
      <w:pPr>
        <w:keepNext w:val="0"/>
        <w:keepLines w:val="0"/>
        <w:pageBreakBefore w:val="0"/>
        <w:widowControl w:val="0"/>
        <w:pBdr>
          <w:top w:val="single" w:color="auto" w:sz="4" w:space="1"/>
          <w:left w:val="single" w:color="auto" w:sz="4" w:space="4"/>
          <w:bottom w:val="single" w:color="auto" w:sz="4" w:space="10"/>
          <w:right w:val="single" w:color="auto" w:sz="4" w:space="4"/>
        </w:pBdr>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项目概况</w:t>
      </w:r>
    </w:p>
    <w:p>
      <w:pPr>
        <w:keepNext w:val="0"/>
        <w:keepLines w:val="0"/>
        <w:pageBreakBefore w:val="0"/>
        <w:widowControl w:val="0"/>
        <w:pBdr>
          <w:top w:val="single" w:color="auto" w:sz="4" w:space="1"/>
          <w:left w:val="single" w:color="auto" w:sz="4" w:space="4"/>
          <w:bottom w:val="single" w:color="auto" w:sz="4" w:space="10"/>
          <w:right w:val="single" w:color="auto" w:sz="4" w:space="4"/>
        </w:pBdr>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常州市武进区林南小学课桌椅及办公台采购项目的潜在供应商应在常州市城投建设工程招标有限公司获取采购文件，并于2020年7月28日14点00分（北京时间）前提交响应文件。</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一、项目基本情况</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sz w:val="21"/>
          <w:szCs w:val="21"/>
          <w:highlight w:val="none"/>
        </w:rPr>
        <w:t>1.项目编号：CT-SJ-2020048</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2.项目名称：常州市武进区林南小学课桌椅及办公台采购项目</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3.采购方式：竞争性谈判</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4.预算金额：人民币19.97万元</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5.最高限价：人民币19.97万元</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b/>
          <w:spacing w:val="2"/>
          <w:sz w:val="21"/>
          <w:szCs w:val="21"/>
          <w:highlight w:val="none"/>
        </w:rPr>
      </w:pPr>
      <w:r>
        <w:rPr>
          <w:rFonts w:hint="eastAsia" w:asciiTheme="minorEastAsia" w:hAnsiTheme="minorEastAsia" w:eastAsiaTheme="minorEastAsia" w:cstheme="minorEastAsia"/>
          <w:sz w:val="21"/>
          <w:szCs w:val="21"/>
          <w:highlight w:val="none"/>
        </w:rPr>
        <w:t>6.采购需求：具体内容包括：货物的制造（采购）、运输、装卸、安装、调试、售后服务等，直至通过采购</w:t>
      </w:r>
      <w:r>
        <w:rPr>
          <w:rFonts w:hint="eastAsia" w:asciiTheme="minorEastAsia" w:hAnsiTheme="minorEastAsia" w:eastAsiaTheme="minorEastAsia" w:cstheme="minorEastAsia"/>
          <w:sz w:val="21"/>
          <w:szCs w:val="21"/>
          <w:highlight w:val="none"/>
          <w:lang w:val="en-US" w:eastAsia="zh-CN"/>
        </w:rPr>
        <w:t>人</w:t>
      </w:r>
      <w:r>
        <w:rPr>
          <w:rFonts w:hint="eastAsia" w:asciiTheme="minorEastAsia" w:hAnsiTheme="minorEastAsia" w:eastAsiaTheme="minorEastAsia" w:cstheme="minorEastAsia"/>
          <w:sz w:val="21"/>
          <w:szCs w:val="21"/>
          <w:highlight w:val="none"/>
        </w:rPr>
        <w:t>的验收以及质量保修、免费维保等全部工作。</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7.合同履行期限：合同签订之日起20日内完成交货及验收。</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8.本项目不接受联合体。</w:t>
      </w:r>
    </w:p>
    <w:p>
      <w:pPr>
        <w:keepNext w:val="0"/>
        <w:keepLines w:val="0"/>
        <w:pageBreakBefore w:val="0"/>
        <w:widowControl w:val="0"/>
        <w:kinsoku/>
        <w:wordWrap/>
        <w:overflowPunct/>
        <w:topLinePunct w:val="0"/>
        <w:autoSpaceDE/>
        <w:autoSpaceDN/>
        <w:bidi w:val="0"/>
        <w:adjustRightInd w:val="0"/>
        <w:snapToGrid w:val="0"/>
        <w:spacing w:line="360" w:lineRule="exact"/>
        <w:ind w:firstLine="424" w:firstLineChars="201"/>
        <w:textAlignment w:val="auto"/>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 xml:space="preserve">二、申请人的资格要求 </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w:t>
      </w:r>
      <w:bookmarkStart w:id="10" w:name="_GoBack"/>
      <w:bookmarkEnd w:id="10"/>
      <w:r>
        <w:rPr>
          <w:rFonts w:hint="eastAsia" w:asciiTheme="minorEastAsia" w:hAnsiTheme="minorEastAsia" w:eastAsiaTheme="minorEastAsia" w:cstheme="minorEastAsia"/>
          <w:kern w:val="0"/>
          <w:sz w:val="21"/>
          <w:szCs w:val="21"/>
          <w:highlight w:val="none"/>
        </w:rPr>
        <w:t>.本项目的特定资格要求：</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（1）</w:t>
      </w:r>
      <w:r>
        <w:rPr>
          <w:rFonts w:hint="eastAsia" w:asciiTheme="minorEastAsia" w:hAnsiTheme="minorEastAsia" w:eastAsiaTheme="minorEastAsia" w:cstheme="minorEastAsia"/>
          <w:color w:val="000000"/>
          <w:sz w:val="21"/>
          <w:szCs w:val="21"/>
          <w:highlight w:val="none"/>
        </w:rPr>
        <w:t>单位负责人为同一人或者存在直接控股、管理关系的不同供应商，不得参加同一合同项下的采购</w:t>
      </w:r>
      <w:r>
        <w:rPr>
          <w:rFonts w:hint="eastAsia" w:asciiTheme="minorEastAsia" w:hAnsiTheme="minorEastAsia" w:eastAsiaTheme="minorEastAsia" w:cstheme="minorEastAsia"/>
          <w:sz w:val="21"/>
          <w:szCs w:val="21"/>
          <w:highlight w:val="none"/>
        </w:rPr>
        <w:t>活动；</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kern w:val="0"/>
          <w:sz w:val="21"/>
          <w:szCs w:val="21"/>
          <w:highlight w:val="none"/>
        </w:rPr>
        <w:t>（2）未被“信用中国”网站（WWW.creditchina.gov.cn）或“中国政府采购网”网站（www.ccgp.gov.cn）列入失信被执行人、重大税收违法案件当事人名单、政府采购严重失信行为记录名单</w:t>
      </w:r>
      <w:r>
        <w:rPr>
          <w:rFonts w:hint="eastAsia" w:asciiTheme="minorEastAsia" w:hAnsiTheme="minorEastAsia" w:eastAsiaTheme="minorEastAsia" w:cstheme="minorEastAsia"/>
          <w:kern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三、获取采购文件</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1.时间：</w:t>
      </w:r>
      <w:r>
        <w:rPr>
          <w:rFonts w:hint="eastAsia" w:asciiTheme="minorEastAsia" w:hAnsiTheme="minorEastAsia" w:eastAsiaTheme="minorEastAsia" w:cstheme="minorEastAsia"/>
          <w:bCs/>
          <w:kern w:val="0"/>
          <w:sz w:val="21"/>
          <w:szCs w:val="21"/>
          <w:highlight w:val="none"/>
        </w:rPr>
        <w:t>20</w:t>
      </w:r>
      <w:r>
        <w:rPr>
          <w:rFonts w:hint="eastAsia" w:asciiTheme="minorEastAsia" w:hAnsiTheme="minorEastAsia" w:eastAsiaTheme="minorEastAsia" w:cstheme="minorEastAsia"/>
          <w:bCs/>
          <w:kern w:val="0"/>
          <w:sz w:val="21"/>
          <w:szCs w:val="21"/>
          <w:highlight w:val="none"/>
          <w:lang w:val="en-US" w:eastAsia="zh-CN"/>
        </w:rPr>
        <w:t>20</w:t>
      </w:r>
      <w:r>
        <w:rPr>
          <w:rFonts w:hint="eastAsia" w:asciiTheme="minorEastAsia" w:hAnsiTheme="minorEastAsia" w:eastAsiaTheme="minorEastAsia" w:cstheme="minorEastAsia"/>
          <w:bCs/>
          <w:kern w:val="0"/>
          <w:sz w:val="21"/>
          <w:szCs w:val="21"/>
          <w:highlight w:val="none"/>
        </w:rPr>
        <w:t>年</w:t>
      </w:r>
      <w:r>
        <w:rPr>
          <w:rFonts w:hint="eastAsia" w:asciiTheme="minorEastAsia" w:hAnsiTheme="minorEastAsia" w:eastAsiaTheme="minorEastAsia" w:cstheme="minorEastAsia"/>
          <w:bCs/>
          <w:kern w:val="0"/>
          <w:sz w:val="21"/>
          <w:szCs w:val="21"/>
          <w:highlight w:val="none"/>
          <w:lang w:val="en-US" w:eastAsia="zh-CN"/>
        </w:rPr>
        <w:t>7</w:t>
      </w:r>
      <w:r>
        <w:rPr>
          <w:rFonts w:hint="eastAsia" w:asciiTheme="minorEastAsia" w:hAnsiTheme="minorEastAsia" w:eastAsiaTheme="minorEastAsia" w:cstheme="minorEastAsia"/>
          <w:bCs/>
          <w:kern w:val="0"/>
          <w:sz w:val="21"/>
          <w:szCs w:val="21"/>
          <w:highlight w:val="none"/>
        </w:rPr>
        <w:t>月</w:t>
      </w:r>
      <w:r>
        <w:rPr>
          <w:rFonts w:hint="eastAsia" w:asciiTheme="minorEastAsia" w:hAnsiTheme="minorEastAsia" w:eastAsiaTheme="minorEastAsia" w:cstheme="minorEastAsia"/>
          <w:bCs/>
          <w:kern w:val="0"/>
          <w:sz w:val="21"/>
          <w:szCs w:val="21"/>
          <w:highlight w:val="none"/>
          <w:lang w:val="en-US" w:eastAsia="zh-CN"/>
        </w:rPr>
        <w:t>22</w:t>
      </w:r>
      <w:r>
        <w:rPr>
          <w:rFonts w:hint="eastAsia" w:asciiTheme="minorEastAsia" w:hAnsiTheme="minorEastAsia" w:eastAsiaTheme="minorEastAsia" w:cstheme="minorEastAsia"/>
          <w:bCs/>
          <w:kern w:val="0"/>
          <w:sz w:val="21"/>
          <w:szCs w:val="21"/>
          <w:highlight w:val="none"/>
        </w:rPr>
        <w:t>日</w:t>
      </w:r>
      <w:r>
        <w:rPr>
          <w:rFonts w:hint="eastAsia" w:asciiTheme="minorEastAsia" w:hAnsiTheme="minorEastAsia" w:eastAsiaTheme="minorEastAsia" w:cstheme="minorEastAsia"/>
          <w:bCs/>
          <w:kern w:val="0"/>
          <w:sz w:val="21"/>
          <w:szCs w:val="21"/>
          <w:highlight w:val="none"/>
          <w:lang w:val="en-US" w:eastAsia="zh-CN"/>
        </w:rPr>
        <w:t>起</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bCs/>
          <w:kern w:val="0"/>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.方式：符合条件的供应商网上自行下载，并按文件要求编制响应文件。</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.售价：</w:t>
      </w:r>
      <w:r>
        <w:rPr>
          <w:rFonts w:hint="eastAsia" w:asciiTheme="minorEastAsia" w:hAnsiTheme="minorEastAsia" w:eastAsiaTheme="minorEastAsia" w:cstheme="minorEastAsia"/>
          <w:kern w:val="0"/>
          <w:sz w:val="21"/>
          <w:szCs w:val="21"/>
          <w:highlight w:val="none"/>
        </w:rPr>
        <w:t>人民币伍佰元整</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四、响应文件提交</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截止时间：2020年7月28日14点00分（北京时间）</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地点：常州市城投建设工程招标有限公司（常州市新北区通江中路396号中创大厦4楼）</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五、开启</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时间：2020年7月28日14点00分（北京时间）</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地点：常州市城投建设工程招标有限公司（常州市新北区通江中路396号中创大厦4楼）</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六、公告期限</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自本公告发布之日起5个工作日。</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七、其他补充事宜</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1.标前答疑</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加谈判的供应商若认为竞争性谈判文件的资格要求和技术要求有倾向性或不公正性，可在响应文件提交截止期2日前以书面形式向常州市城投建设工程招标有限公司提出。对于未提出澄清要求又参与了该项目的供应商将被视为完全认同该竞争性谈判文件，响应文件提交截止期后不再受理针对竞争性谈判文件的相关质疑和投诉。</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2.谈判保证金</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谈判保证金数额：</w:t>
      </w:r>
      <w:r>
        <w:rPr>
          <w:rFonts w:hint="eastAsia" w:asciiTheme="minorEastAsia" w:hAnsiTheme="minorEastAsia" w:eastAsiaTheme="minorEastAsia" w:cstheme="minorEastAsia"/>
          <w:b/>
          <w:color w:val="auto"/>
          <w:sz w:val="21"/>
          <w:szCs w:val="21"/>
          <w:highlight w:val="none"/>
        </w:rPr>
        <w:t>人民币</w:t>
      </w:r>
      <w:r>
        <w:rPr>
          <w:rFonts w:hint="eastAsia" w:asciiTheme="minorEastAsia" w:hAnsiTheme="minorEastAsia" w:eastAsiaTheme="minorEastAsia" w:cstheme="minorEastAsia"/>
          <w:b/>
          <w:color w:val="auto"/>
          <w:sz w:val="21"/>
          <w:szCs w:val="21"/>
          <w:highlight w:val="none"/>
          <w:lang w:val="en-US" w:eastAsia="zh-CN"/>
        </w:rPr>
        <w:t>叁仟</w:t>
      </w:r>
      <w:r>
        <w:rPr>
          <w:rFonts w:hint="eastAsia" w:asciiTheme="minorEastAsia" w:hAnsiTheme="minorEastAsia" w:eastAsiaTheme="minorEastAsia" w:cstheme="minorEastAsia"/>
          <w:b/>
          <w:color w:val="auto"/>
          <w:sz w:val="21"/>
          <w:szCs w:val="21"/>
          <w:highlight w:val="none"/>
        </w:rPr>
        <w:t>元整</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谈判保证金</w:t>
      </w:r>
      <w:r>
        <w:rPr>
          <w:rFonts w:hint="eastAsia" w:asciiTheme="minorEastAsia" w:hAnsiTheme="minorEastAsia" w:eastAsiaTheme="minorEastAsia" w:cstheme="minorEastAsia"/>
          <w:b/>
          <w:color w:val="auto"/>
          <w:sz w:val="21"/>
          <w:szCs w:val="21"/>
          <w:highlight w:val="none"/>
        </w:rPr>
        <w:t>到账截止时间</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bCs/>
          <w:sz w:val="21"/>
          <w:szCs w:val="21"/>
          <w:highlight w:val="none"/>
        </w:rPr>
        <w:t>2020年7月28日</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谈判保证金交纳方式：银行电汇或转账</w:t>
      </w:r>
      <w:r>
        <w:rPr>
          <w:rFonts w:hint="eastAsia" w:asciiTheme="minorEastAsia" w:hAnsiTheme="minorEastAsia" w:eastAsiaTheme="minorEastAsia" w:cstheme="minorEastAsia"/>
          <w:b/>
          <w:bCs/>
          <w:color w:val="auto"/>
          <w:sz w:val="21"/>
          <w:szCs w:val="21"/>
          <w:highlight w:val="none"/>
        </w:rPr>
        <w:t>（备注项目编号）</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必须自行将谈判保证金从公司账户按规定方式和时间缴至常州市城投建设工程招标有限公司账户并到账，拒绝以其它方式缴纳，禁止第三方代缴保证金，否则将被视为无效响应，其谈判响应文件将被拒绝。</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3.送样要求</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①送样品种及数量：</w:t>
      </w:r>
    </w:p>
    <w:tbl>
      <w:tblPr>
        <w:tblStyle w:val="22"/>
        <w:tblW w:w="83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964"/>
        <w:gridCol w:w="1009"/>
        <w:gridCol w:w="737"/>
        <w:gridCol w:w="709"/>
        <w:gridCol w:w="3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964"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图片</w:t>
            </w:r>
          </w:p>
        </w:tc>
        <w:tc>
          <w:tcPr>
            <w:tcW w:w="1009"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名称</w:t>
            </w:r>
          </w:p>
        </w:tc>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单位</w:t>
            </w: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数量</w:t>
            </w:r>
          </w:p>
        </w:tc>
        <w:tc>
          <w:tcPr>
            <w:tcW w:w="3194"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964"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drawing>
                <wp:anchor distT="0" distB="0" distL="114300" distR="114300" simplePos="0" relativeHeight="251683840" behindDoc="0" locked="0" layoutInCell="1" allowOverlap="1">
                  <wp:simplePos x="0" y="0"/>
                  <wp:positionH relativeFrom="column">
                    <wp:posOffset>0</wp:posOffset>
                  </wp:positionH>
                  <wp:positionV relativeFrom="paragraph">
                    <wp:posOffset>163830</wp:posOffset>
                  </wp:positionV>
                  <wp:extent cx="1216660" cy="933450"/>
                  <wp:effectExtent l="0" t="0" r="2540" b="0"/>
                  <wp:wrapTopAndBottom/>
                  <wp:docPr id="2" name="图片 2" descr="jnyan1022-12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jnyan1022-121406"/>
                          <pic:cNvPicPr>
                            <a:picLocks noChangeAspect="1"/>
                          </pic:cNvPicPr>
                        </pic:nvPicPr>
                        <pic:blipFill>
                          <a:blip r:embed="rId10" cstate="print"/>
                          <a:stretch>
                            <a:fillRect/>
                          </a:stretch>
                        </pic:blipFill>
                        <pic:spPr>
                          <a:xfrm>
                            <a:off x="0" y="0"/>
                            <a:ext cx="1223141" cy="938152"/>
                          </a:xfrm>
                          <a:prstGeom prst="rect">
                            <a:avLst/>
                          </a:prstGeom>
                        </pic:spPr>
                      </pic:pic>
                    </a:graphicData>
                  </a:graphic>
                </wp:anchor>
              </w:drawing>
            </w:r>
          </w:p>
        </w:tc>
        <w:tc>
          <w:tcPr>
            <w:tcW w:w="1009"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讲台</w:t>
            </w:r>
          </w:p>
        </w:tc>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张</w:t>
            </w: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3194" w:type="dxa"/>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规格：长1400㎜(±5㎜)*宽600㎜(±5㎜)*高850㎜(±5㎜)</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讲台材料采用E1级饰面刨花板，硬度强不变形、不褪色。甲醛释放量</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符合国家环保标准小于(1.5mg/L)，优质五金件，1.5MM</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厚pvc封边条，永不脱落。桌面厚度为25mm板材，其余为厚度18mm板材。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964"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drawing>
                <wp:anchor distT="0" distB="0" distL="0" distR="0" simplePos="0" relativeHeight="251684864" behindDoc="0" locked="0" layoutInCell="1" allowOverlap="1">
                  <wp:simplePos x="0" y="0"/>
                  <wp:positionH relativeFrom="column">
                    <wp:posOffset>198120</wp:posOffset>
                  </wp:positionH>
                  <wp:positionV relativeFrom="paragraph">
                    <wp:posOffset>259080</wp:posOffset>
                  </wp:positionV>
                  <wp:extent cx="790575" cy="1066800"/>
                  <wp:effectExtent l="0" t="0" r="9525" b="0"/>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1" cstate="print"/>
                          <a:srcRect l="12775" t="42516" r="43045" b="17166"/>
                          <a:stretch>
                            <a:fillRect/>
                          </a:stretch>
                        </pic:blipFill>
                        <pic:spPr>
                          <a:xfrm>
                            <a:off x="0" y="0"/>
                            <a:ext cx="790575" cy="1066800"/>
                          </a:xfrm>
                          <a:prstGeom prst="rect">
                            <a:avLst/>
                          </a:prstGeom>
                          <a:noFill/>
                          <a:ln w="9525">
                            <a:noFill/>
                            <a:miter lim="800000"/>
                            <a:headEnd/>
                            <a:tailEnd/>
                          </a:ln>
                        </pic:spPr>
                      </pic:pic>
                    </a:graphicData>
                  </a:graphic>
                </wp:anchor>
              </w:drawing>
            </w:r>
          </w:p>
        </w:tc>
        <w:tc>
          <w:tcPr>
            <w:tcW w:w="1009"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专用教室圆凳</w:t>
            </w:r>
          </w:p>
        </w:tc>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张</w:t>
            </w: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3194" w:type="dxa"/>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b/>
                <w:color w:val="FF0000"/>
                <w:sz w:val="21"/>
                <w:szCs w:val="21"/>
                <w:highlight w:val="none"/>
              </w:rPr>
            </w:pPr>
            <w:r>
              <w:rPr>
                <w:rFonts w:hint="eastAsia" w:asciiTheme="minorEastAsia" w:hAnsiTheme="minorEastAsia" w:eastAsiaTheme="minorEastAsia" w:cstheme="minorEastAsia"/>
                <w:sz w:val="21"/>
                <w:szCs w:val="21"/>
                <w:highlight w:val="none"/>
              </w:rPr>
              <w:t>规格尺寸：圆凳高430 mm（±5mm），凳面板采用橙色中空吹塑，一次成型，圆凳面，规格为直径368mm（±3mm）×厚50 mm（±3mm），凳面连接翼采用160 mm×160 mm×壁厚1.8 mm钢板托盘制作，凳竖脚采用直径50mm×壁厚1.6 mm圆钢管，连接件采用螺丝固定。工艺流程：铁件部位要求做到焊接饱满、无漏焊，无夹焊、无气泡，焊口经磨平处理，磷化、酸洗、清洗、静电喷塑、高温固化。</w:t>
            </w:r>
          </w:p>
        </w:tc>
      </w:tr>
    </w:tbl>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②供应商在样品上/样品背面粘贴标签（不大于10cm×5cm），标签上注明供应商名称、样品材质、规格型号、产地，加盖供应商公章，并用不透明白纸将标签粘贴遮盖。</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③样品提交时,样品上任何显示供应商名称的商标、品牌或其他显示该供应商名称的标志都应用不透明的白纸粘贴遮盖，否则将被视为无效响应。</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④样品制作及运输费用由供应商自行承担。未成交供应商的样品予以退回；成交供应商的样品不予退回，由采购人封存作为最终验收的依据。</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⑤未能提供样品、样品不齐全或样品不符合要求的，将被视为无效响应。</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4.常州市城投建设工程招标有限公司账户</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收款单位：常州市城投建设工程招标有限公司</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开户银行：江苏银行常州新北支行</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银行账号：8260 0188 0002 45718</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kern w:val="0"/>
          <w:sz w:val="21"/>
          <w:szCs w:val="21"/>
          <w:highlight w:val="none"/>
        </w:rPr>
        <w:t>5.</w:t>
      </w:r>
      <w:r>
        <w:rPr>
          <w:rFonts w:hint="eastAsia" w:asciiTheme="minorEastAsia" w:hAnsiTheme="minorEastAsia" w:eastAsiaTheme="minorEastAsia" w:cstheme="minorEastAsia"/>
          <w:b/>
          <w:bCs/>
          <w:sz w:val="21"/>
          <w:szCs w:val="21"/>
          <w:highlight w:val="none"/>
        </w:rPr>
        <w:t>竞争性谈判文件售后一概不退。供应商提交的谈判响应文件概不退还。一经领购，供应商不得更改单位名称。</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bCs/>
          <w:sz w:val="21"/>
          <w:szCs w:val="21"/>
          <w:highlight w:val="none"/>
        </w:rPr>
        <w:t>6.</w:t>
      </w:r>
      <w:r>
        <w:rPr>
          <w:rFonts w:hint="eastAsia" w:asciiTheme="minorEastAsia" w:hAnsiTheme="minorEastAsia" w:eastAsiaTheme="minorEastAsia" w:cstheme="minorEastAsia"/>
          <w:b/>
          <w:kern w:val="0"/>
          <w:sz w:val="21"/>
          <w:szCs w:val="21"/>
          <w:highlight w:val="none"/>
        </w:rPr>
        <w:t>疫情防控措施</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在采购活动前，根据参与人员规模研究制定活动预案，科学安排座位间距，缩短工作时间，设置场内外提示牌，对参加人员进行体温检测、扫码核验、信息登记等工作。会议室每隔两小时通一次风，使用完毕后及时消毒。</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对于参与开评标活动的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对于参与评标活动的评审专家，在进入公司时，请主动出示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（4）适当限制参与开评标活动人数。疫情期间，为减少人员聚集，除采购人授权代表和供应商授权代表外，其他人员原则上不安排进入开评标场所。特殊情况应事先与公司人员联系。</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参与采购活动的当事人应严格按照疫情期间管理要求，服从佩戴口罩、测量体温、健康信息登记等各项疫情防控规定。进场后请保持安全距离，分散等候，不得扎堆聚集，事完即走。自觉服从引导人员的指挥和管理。</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（6）因防控工作需要，给采购当事人带来诸多不便，还望多多理解和予以配合。</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八、凡对本次采购提出询问，请按以下方式联系。</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1.采购人信息</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    称：</w:t>
      </w:r>
      <w:r>
        <w:rPr>
          <w:rFonts w:hint="eastAsia" w:asciiTheme="minorEastAsia" w:hAnsiTheme="minorEastAsia" w:eastAsiaTheme="minorEastAsia" w:cstheme="minorEastAsia"/>
          <w:kern w:val="0"/>
          <w:sz w:val="21"/>
          <w:szCs w:val="21"/>
          <w:highlight w:val="none"/>
        </w:rPr>
        <w:t>常州市武进区林南小学　</w:t>
      </w:r>
      <w:r>
        <w:rPr>
          <w:rFonts w:hint="eastAsia" w:asciiTheme="minorEastAsia" w:hAnsiTheme="minorEastAsia" w:eastAsiaTheme="minorEastAsia" w:cstheme="minorEastAsia"/>
          <w:sz w:val="21"/>
          <w:szCs w:val="21"/>
          <w:highlight w:val="none"/>
        </w:rPr>
        <w:t>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地    址：</w:t>
      </w:r>
      <w:r>
        <w:rPr>
          <w:rFonts w:hint="eastAsia" w:asciiTheme="minorEastAsia" w:hAnsiTheme="minorEastAsia" w:eastAsiaTheme="minorEastAsia" w:cstheme="minorEastAsia"/>
          <w:kern w:val="0"/>
          <w:sz w:val="21"/>
          <w:szCs w:val="21"/>
          <w:highlight w:val="none"/>
        </w:rPr>
        <w:t>常州市武进区横林镇横洛东路208号</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联系方式：徐德元</w:t>
      </w:r>
      <w:r>
        <w:rPr>
          <w:rFonts w:hint="eastAsia" w:asciiTheme="minorEastAsia" w:hAnsiTheme="minorEastAsia" w:eastAsiaTheme="minorEastAsia" w:cstheme="minorEastAsia"/>
          <w:color w:val="FF0000"/>
          <w:sz w:val="21"/>
          <w:szCs w:val="21"/>
          <w:highlight w:val="none"/>
        </w:rPr>
        <w:t xml:space="preserve"> </w:t>
      </w:r>
      <w:r>
        <w:rPr>
          <w:rFonts w:hint="eastAsia" w:asciiTheme="minorEastAsia" w:hAnsiTheme="minorEastAsia" w:eastAsiaTheme="minorEastAsia" w:cstheme="minorEastAsia"/>
          <w:sz w:val="21"/>
          <w:szCs w:val="21"/>
          <w:highlight w:val="none"/>
        </w:rPr>
        <w:t>13861182670</w:t>
      </w:r>
      <w:r>
        <w:rPr>
          <w:rFonts w:hint="eastAsia" w:asciiTheme="minorEastAsia" w:hAnsiTheme="minorEastAsia" w:eastAsiaTheme="minorEastAsia" w:cstheme="minorEastAsia"/>
          <w:color w:val="FF0000"/>
          <w:sz w:val="21"/>
          <w:szCs w:val="21"/>
          <w:highlight w:val="none"/>
        </w:rPr>
        <w:t xml:space="preserve"> 　　　</w:t>
      </w:r>
      <w:r>
        <w:rPr>
          <w:rFonts w:hint="eastAsia" w:asciiTheme="minorEastAsia" w:hAnsiTheme="minorEastAsia" w:eastAsiaTheme="minorEastAsia" w:cstheme="minorEastAsia"/>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2.采购代理机构信息</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    称：常州市城投建设工程招标有限公司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　　址：</w:t>
      </w:r>
      <w:r>
        <w:rPr>
          <w:rFonts w:hint="eastAsia" w:asciiTheme="minorEastAsia" w:hAnsiTheme="minorEastAsia" w:eastAsiaTheme="minorEastAsia" w:cstheme="minorEastAsia"/>
          <w:kern w:val="0"/>
          <w:sz w:val="21"/>
          <w:szCs w:val="21"/>
          <w:highlight w:val="none"/>
        </w:rPr>
        <w:t>常州市新北区通江中路396号中创大厦4楼</w:t>
      </w:r>
      <w:r>
        <w:rPr>
          <w:rFonts w:hint="eastAsia" w:asciiTheme="minorEastAsia" w:hAnsiTheme="minorEastAsia" w:eastAsiaTheme="minorEastAsia" w:cstheme="minorEastAsia"/>
          <w:sz w:val="21"/>
          <w:szCs w:val="21"/>
          <w:highlight w:val="none"/>
        </w:rPr>
        <w:t>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联系方式：0519-81580101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3.项目联系方式</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项目联系人：袁  婷</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rPr>
        <w:t>电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话：0519-81580152  81580191  81580192（转分机号6013）　</w:t>
      </w:r>
    </w:p>
    <w:p>
      <w:pPr>
        <w:spacing w:before="100" w:after="240" w:line="500" w:lineRule="exact"/>
        <w:jc w:val="center"/>
        <w:rPr>
          <w:rFonts w:ascii="宋体" w:hAnsi="宋体" w:cs="宋体"/>
          <w:b/>
          <w:sz w:val="44"/>
          <w:szCs w:val="44"/>
        </w:rPr>
      </w:pPr>
    </w:p>
    <w:p>
      <w:pPr>
        <w:tabs>
          <w:tab w:val="left" w:pos="3480"/>
          <w:tab w:val="center" w:pos="4156"/>
        </w:tabs>
        <w:jc w:val="center"/>
        <w:rPr>
          <w:rFonts w:ascii="宋体" w:hAnsi="宋体" w:cs="宋体"/>
          <w:b/>
          <w:bCs/>
          <w:sz w:val="30"/>
          <w:szCs w:val="30"/>
        </w:rPr>
      </w:pPr>
      <w:r>
        <w:rPr>
          <w:rFonts w:ascii="宋体" w:hAnsi="宋体" w:cs="宋体"/>
          <w:b/>
          <w:bCs/>
          <w:sz w:val="30"/>
          <w:szCs w:val="30"/>
        </w:rPr>
        <w:br w:type="page"/>
      </w:r>
    </w:p>
    <w:p>
      <w:pPr>
        <w:pStyle w:val="3"/>
      </w:pPr>
      <w:bookmarkStart w:id="2" w:name="_Toc17536925"/>
      <w:r>
        <w:rPr>
          <w:rFonts w:hint="eastAsia"/>
        </w:rPr>
        <w:t>第一章    总     则</w:t>
      </w:r>
      <w:bookmarkEnd w:id="2"/>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bCs/>
          <w:szCs w:val="21"/>
        </w:rPr>
      </w:pPr>
      <w:r>
        <w:rPr>
          <w:rFonts w:hint="eastAsia" w:ascii="宋体" w:hAnsi="宋体" w:cs="宋体"/>
          <w:b/>
          <w:bCs/>
          <w:szCs w:val="21"/>
        </w:rPr>
        <w:t>1</w:t>
      </w:r>
      <w:r>
        <w:rPr>
          <w:rFonts w:ascii="宋体" w:hAnsi="宋体" w:cs="宋体"/>
          <w:b/>
          <w:bCs/>
          <w:szCs w:val="21"/>
        </w:rPr>
        <w:t>.</w:t>
      </w:r>
      <w:r>
        <w:rPr>
          <w:rFonts w:hint="eastAsia" w:ascii="宋体" w:hAnsi="宋体" w:cs="宋体"/>
          <w:b/>
          <w:bCs/>
          <w:szCs w:val="21"/>
        </w:rPr>
        <w:t>采购方式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pPr>
      <w:r>
        <w:rPr>
          <w:rFonts w:hint="eastAsia"/>
        </w:rPr>
        <w:t>本次采购采取竞争性谈判方式，本竞争性谈判文件仅适用于谈判公告中所述项目。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2.合格的供应商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2.1满足公告中供应商的资格要求的规定。</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2.2 满足本文件实质性条款的规定。</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ascii="宋体" w:hAnsi="宋体" w:cs="宋体"/>
          <w:b/>
          <w:szCs w:val="21"/>
        </w:rPr>
        <w:t>3.</w:t>
      </w:r>
      <w:r>
        <w:rPr>
          <w:rFonts w:hint="eastAsia" w:ascii="宋体" w:hAnsi="宋体" w:cs="宋体"/>
          <w:b/>
          <w:szCs w:val="21"/>
        </w:rPr>
        <w:t>谈判费用</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szCs w:val="21"/>
        </w:rPr>
        <w:t>参加谈判供应商应自行承担所有与参加谈判有关的费用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ascii="宋体" w:hAnsi="宋体" w:cs="宋体"/>
          <w:b/>
          <w:szCs w:val="21"/>
        </w:rPr>
        <w:t>4.</w:t>
      </w:r>
      <w:r>
        <w:rPr>
          <w:rFonts w:hint="eastAsia" w:ascii="宋体" w:hAnsi="宋体" w:cs="宋体"/>
          <w:b/>
          <w:szCs w:val="21"/>
        </w:rPr>
        <w:t>竞争性谈判文件的组成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本文件及依法对本文件所作的更正内容均为竞争性谈判文件的组成部分。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供应商应仔细检查竞争性谈判文件是否齐全，如有缺漏，立即与代理机构联系解决。</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供应商一旦参加本项目采购活动，即被认为接受了本竞争性谈判文件的规定和约束。</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竞争性谈判文件的补充</w:t>
      </w:r>
      <w:r>
        <w:rPr>
          <w:rFonts w:ascii="宋体" w:hAnsi="宋体" w:cs="宋体"/>
          <w:b/>
          <w:color w:val="000000"/>
          <w:szCs w:val="21"/>
        </w:rPr>
        <w:t>、</w:t>
      </w:r>
      <w:r>
        <w:rPr>
          <w:rFonts w:hint="eastAsia" w:ascii="宋体" w:hAnsi="宋体" w:cs="宋体"/>
          <w:b/>
          <w:color w:val="000000"/>
          <w:szCs w:val="21"/>
        </w:rPr>
        <w:t>澄清、更正</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.2供应商提出的与谈判有关的任何问题须在收到竞争性谈判文件后，按规定时间以书面形式提交至采购代理机构，未以书面形式提出或逾期提出的异议将不被接受。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视作供应商完全响应竞争性谈判文件的条款和要求。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.3采购人及代理机构有权对已发出的竞争性谈判文件进行必要的澄清或更正。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.4采购</w:t>
      </w:r>
      <w:r>
        <w:rPr>
          <w:rFonts w:ascii="宋体" w:hAnsi="宋体" w:cs="宋体"/>
          <w:bCs/>
          <w:color w:val="000000"/>
          <w:szCs w:val="21"/>
        </w:rPr>
        <w:t>人可视具体情况，延长</w:t>
      </w:r>
      <w:r>
        <w:rPr>
          <w:rFonts w:hint="eastAsia" w:ascii="宋体" w:hAnsi="宋体" w:cs="宋体"/>
          <w:bCs/>
          <w:color w:val="000000"/>
          <w:szCs w:val="21"/>
        </w:rPr>
        <w:t>谈判响应文件</w:t>
      </w:r>
      <w:r>
        <w:rPr>
          <w:rFonts w:ascii="宋体" w:hAnsi="宋体" w:cs="宋体"/>
          <w:bCs/>
          <w:color w:val="000000"/>
          <w:szCs w:val="21"/>
        </w:rPr>
        <w:t>提交截止时间和</w:t>
      </w:r>
      <w:r>
        <w:rPr>
          <w:rFonts w:hint="eastAsia" w:ascii="宋体" w:hAnsi="宋体" w:cs="宋体"/>
          <w:bCs/>
          <w:color w:val="000000"/>
          <w:szCs w:val="21"/>
        </w:rPr>
        <w:t>谈判</w:t>
      </w:r>
      <w:r>
        <w:rPr>
          <w:rFonts w:ascii="宋体" w:hAnsi="宋体" w:cs="宋体"/>
          <w:bCs/>
          <w:color w:val="000000"/>
          <w:szCs w:val="21"/>
        </w:rPr>
        <w:t>时间</w:t>
      </w:r>
      <w:r>
        <w:rPr>
          <w:rFonts w:hint="eastAsia" w:ascii="宋体" w:hAnsi="宋体" w:cs="宋体"/>
          <w:bCs/>
          <w:color w:val="000000"/>
          <w:szCs w:val="21"/>
        </w:rPr>
        <w:t>。</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竞争性谈判文件的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公告</w:t>
      </w:r>
      <w:r>
        <w:rPr>
          <w:rFonts w:hint="eastAsia" w:hAnsi="宋体"/>
          <w:b/>
          <w:szCs w:val="21"/>
        </w:rPr>
        <w:t>。上述内容将作为竞争性谈判文件的组成部分，并对供应商具有约束力，由供应商自行关注并获取。</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6.供应商的义务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6.1</w:t>
      </w:r>
      <w:r>
        <w:rPr>
          <w:rFonts w:hint="eastAsia" w:ascii="宋体" w:hAnsi="宋体" w:cs="宋体"/>
          <w:szCs w:val="21"/>
        </w:rPr>
        <w:t xml:space="preserve"> 供应商应当认真阅读竞争性谈判文件，完全明了采购项目的内容。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6.2</w:t>
      </w:r>
      <w:r>
        <w:rPr>
          <w:rFonts w:hint="eastAsia" w:ascii="宋体" w:hAnsi="宋体" w:cs="宋体"/>
          <w:szCs w:val="21"/>
        </w:rPr>
        <w:t xml:space="preserve"> 供应商应当按照竞争性谈判文件的要求编制谈判响应文件。谈判响应文件应对竞争性谈判文件提出的实质性要求和条件作出完全响应。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3 供应商应在谈判响应文件</w:t>
      </w:r>
      <w:r>
        <w:rPr>
          <w:rFonts w:ascii="宋体" w:hAnsi="宋体" w:cs="宋体"/>
          <w:szCs w:val="21"/>
        </w:rPr>
        <w:t>提交</w:t>
      </w:r>
      <w:r>
        <w:rPr>
          <w:rFonts w:hint="eastAsia" w:ascii="宋体" w:hAnsi="宋体" w:cs="宋体"/>
          <w:szCs w:val="21"/>
        </w:rPr>
        <w:t>截止时间前，将密封的谈判响应文件送达谈判地点。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4 供应商不得相互串通谈判报价，不得排挤其他供应商的公平竞争，损害采购人或者其他供应商合法权益。供应商不得与采购人串通，损害国家利益，公众利益或者他人的合法权益。</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7.谈判报价</w:t>
      </w:r>
    </w:p>
    <w:p>
      <w:pPr>
        <w:keepNext w:val="0"/>
        <w:keepLines w:val="0"/>
        <w:pageBreakBefore w:val="0"/>
        <w:widowControl w:val="0"/>
        <w:tabs>
          <w:tab w:val="left" w:pos="284"/>
        </w:tabs>
        <w:kinsoku/>
        <w:wordWrap/>
        <w:topLinePunct w:val="0"/>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7.1 本项目谈判报价应包括完成该项货物或者服务项目所涉及到的一切相关费用，采购人不再支付其他任何费用。</w:t>
      </w:r>
    </w:p>
    <w:p>
      <w:pPr>
        <w:keepNext w:val="0"/>
        <w:keepLines w:val="0"/>
        <w:pageBreakBefore w:val="0"/>
        <w:widowControl w:val="0"/>
        <w:tabs>
          <w:tab w:val="left" w:pos="284"/>
        </w:tabs>
        <w:kinsoku/>
        <w:wordWrap/>
        <w:topLinePunct w:val="0"/>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7.2 谈判报价方式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000000"/>
          <w:szCs w:val="21"/>
        </w:rPr>
      </w:pPr>
      <w:r>
        <w:rPr>
          <w:rFonts w:ascii="宋体" w:hAnsi="宋体" w:cs="宋体"/>
          <w:color w:val="000000"/>
          <w:szCs w:val="21"/>
        </w:rPr>
        <w:t>7.2.</w:t>
      </w:r>
      <w:r>
        <w:rPr>
          <w:rFonts w:hint="eastAsia" w:ascii="宋体" w:hAnsi="宋体" w:cs="宋体"/>
          <w:color w:val="000000"/>
          <w:szCs w:val="21"/>
        </w:rPr>
        <w:t>1 供应商应按照竞争性谈判文件中提供的格式完整填写报价一览表。报价一览表中的报价应与谈判</w:t>
      </w:r>
      <w:r>
        <w:rPr>
          <w:rFonts w:ascii="宋体" w:hAnsi="宋体" w:cs="宋体"/>
          <w:color w:val="000000"/>
          <w:szCs w:val="21"/>
        </w:rPr>
        <w:t>分项报价表</w:t>
      </w:r>
      <w:r>
        <w:rPr>
          <w:rFonts w:hint="eastAsia" w:ascii="宋体" w:hAnsi="宋体" w:cs="宋体"/>
          <w:color w:val="000000"/>
          <w:szCs w:val="21"/>
        </w:rPr>
        <w:t>的总价完全一致，如有不一致的，以报价一览表的报价为准。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内容只允许一个报价，不接受任何有选择性的谈判报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color w:val="000000"/>
          <w:szCs w:val="21"/>
        </w:rPr>
        <w:t>7.2.2报价货币为</w:t>
      </w:r>
      <w:r>
        <w:rPr>
          <w:rFonts w:hint="eastAsia" w:ascii="宋体" w:hAnsi="宋体" w:cs="宋体"/>
          <w:szCs w:val="21"/>
        </w:rPr>
        <w:t>人民币，评审时以人民币为准。</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szCs w:val="21"/>
        </w:rPr>
      </w:pPr>
      <w:r>
        <w:rPr>
          <w:rFonts w:ascii="宋体" w:hAnsi="宋体" w:cs="宋体"/>
          <w:b/>
          <w:szCs w:val="21"/>
        </w:rPr>
        <w:t>7.2.3</w:t>
      </w:r>
      <w:r>
        <w:rPr>
          <w:rFonts w:hint="eastAsia" w:ascii="宋体" w:hAnsi="宋体" w:cs="宋体"/>
          <w:b/>
          <w:szCs w:val="21"/>
        </w:rPr>
        <w:t>谈判报价高于最高限价的作为无效响应处理。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7.2.4</w:t>
      </w:r>
      <w:r>
        <w:rPr>
          <w:rFonts w:hint="eastAsia" w:ascii="宋体" w:hAnsi="宋体"/>
          <w:szCs w:val="21"/>
        </w:rPr>
        <w:t>谈判报价次数：</w:t>
      </w:r>
      <w:r>
        <w:rPr>
          <w:rFonts w:hint="eastAsia" w:ascii="宋体" w:hAnsi="宋体"/>
          <w:b/>
          <w:szCs w:val="21"/>
        </w:rPr>
        <w:t>本项目采用至少二次报价，</w:t>
      </w:r>
      <w:r>
        <w:rPr>
          <w:rFonts w:hint="eastAsia" w:ascii="宋体" w:hAnsi="宋体"/>
          <w:szCs w:val="21"/>
        </w:rPr>
        <w:t>谈判响应文件</w:t>
      </w:r>
      <w:r>
        <w:rPr>
          <w:rFonts w:hint="eastAsia" w:ascii="宋体" w:hAnsi="宋体" w:cs="宋体"/>
          <w:szCs w:val="21"/>
        </w:rPr>
        <w:t>报价一览表</w:t>
      </w:r>
      <w:r>
        <w:rPr>
          <w:rFonts w:hint="eastAsia" w:ascii="宋体" w:hAnsi="宋体"/>
          <w:szCs w:val="21"/>
        </w:rPr>
        <w:t>的报价作为首次报价，在谈判结束后，谈判</w:t>
      </w:r>
      <w:r>
        <w:rPr>
          <w:rFonts w:ascii="宋体" w:hAnsi="宋体"/>
          <w:szCs w:val="21"/>
        </w:rPr>
        <w:t>小组应当要求所有实质性响应的供应商在规定时间内提交最后报价</w:t>
      </w:r>
      <w:r>
        <w:rPr>
          <w:rFonts w:hint="eastAsia" w:ascii="宋体" w:hAnsi="宋体"/>
          <w:szCs w:val="21"/>
        </w:rPr>
        <w:t>，最后报价作为评审依据。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谈判响应文件的组成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szCs w:val="21"/>
        </w:rPr>
        <w:t xml:space="preserve"> 详见第五章《谈判响应文件的组成》</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9.谈判保证金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9.1谈判保证金是谈判响应文件的一个组成部分，供应商须按规定从供应商账户缴纳。谈判时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未成交供应商的保证金将在成交通知书发出后五个工作日内退还。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成交供应商的谈判保证金将在其合同签约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供应商出现下列情况之一的，取消其成交资格，</w:t>
      </w:r>
      <w:r>
        <w:rPr>
          <w:rFonts w:hint="eastAsia" w:ascii="宋体" w:hAnsi="宋体" w:cs="宋体"/>
          <w:b/>
          <w:szCs w:val="21"/>
        </w:rPr>
        <w:t>并没收其谈判保证金：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9.4.1</w:t>
      </w:r>
      <w:r>
        <w:rPr>
          <w:rFonts w:hint="eastAsia" w:ascii="宋体" w:hAnsi="宋体" w:cs="宋体"/>
          <w:szCs w:val="21"/>
        </w:rPr>
        <w:t>供应商在谈判有效期内撤回其谈判响应文件；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9.4.2</w:t>
      </w:r>
      <w:r>
        <w:rPr>
          <w:rFonts w:hint="eastAsia" w:ascii="宋体" w:hAnsi="宋体" w:cs="宋体"/>
          <w:szCs w:val="21"/>
        </w:rPr>
        <w:t>成交供应商未能在竞争性谈判文件规定的期限提交履约担保；</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9.4.3</w:t>
      </w:r>
      <w:r>
        <w:rPr>
          <w:rFonts w:hint="eastAsia" w:ascii="宋体" w:hAnsi="宋体" w:cs="宋体"/>
          <w:szCs w:val="21"/>
        </w:rPr>
        <w:t>成交供应商无正当理由拒绝签订合同或者由于供应商的原因导致成交无效的；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9.4.4</w:t>
      </w:r>
      <w:r>
        <w:rPr>
          <w:rFonts w:hint="eastAsia" w:ascii="宋体" w:hAnsi="宋体" w:cs="宋体"/>
          <w:szCs w:val="21"/>
        </w:rPr>
        <w:t>供应商提供的有关资料、资格证明文件被确认是不真实的或供应商之间被证实有串通（统一哄抬价格）、欺诈行为；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.5供应商被证明有妨碍其他人公平竞争、损害代理机构或者其他供应商合法权益的；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谈判响应文件的制作</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10.l供应商应提交</w:t>
      </w:r>
      <w:r>
        <w:rPr>
          <w:rFonts w:hint="eastAsia" w:ascii="宋体" w:hAnsi="宋体" w:cs="宋体"/>
          <w:b/>
          <w:szCs w:val="21"/>
          <w:u w:val="single"/>
        </w:rPr>
        <w:t>装订的谈判响应文件</w:t>
      </w:r>
      <w:r>
        <w:rPr>
          <w:rFonts w:hint="eastAsia" w:ascii="宋体" w:hAnsi="宋体" w:cs="宋体"/>
          <w:b/>
          <w:bCs/>
          <w:szCs w:val="21"/>
          <w:u w:val="single"/>
        </w:rPr>
        <w:t>壹份“正本”、贰份“副本”、</w:t>
      </w:r>
      <w:r>
        <w:rPr>
          <w:rFonts w:ascii="宋体" w:hAnsi="宋体" w:cs="宋体"/>
          <w:b/>
          <w:bCs/>
          <w:szCs w:val="21"/>
          <w:u w:val="single"/>
        </w:rPr>
        <w:t>壹份“</w:t>
      </w:r>
      <w:r>
        <w:rPr>
          <w:rFonts w:hint="eastAsia" w:ascii="宋体" w:hAnsi="宋体" w:cs="宋体"/>
          <w:b/>
          <w:bCs/>
          <w:szCs w:val="21"/>
          <w:u w:val="single"/>
        </w:rPr>
        <w:t>电子</w:t>
      </w:r>
      <w:r>
        <w:rPr>
          <w:rFonts w:ascii="宋体" w:hAnsi="宋体" w:cs="宋体"/>
          <w:b/>
          <w:bCs/>
          <w:szCs w:val="21"/>
          <w:u w:val="single"/>
        </w:rPr>
        <w:t>光盘”</w:t>
      </w:r>
      <w:r>
        <w:rPr>
          <w:rFonts w:hint="eastAsia" w:ascii="宋体" w:hAnsi="宋体" w:cs="宋体"/>
          <w:b/>
          <w:bCs/>
          <w:szCs w:val="21"/>
          <w:u w:val="single"/>
        </w:rPr>
        <w:t>（光盘</w:t>
      </w:r>
      <w:r>
        <w:rPr>
          <w:rFonts w:ascii="宋体" w:hAnsi="宋体" w:cs="宋体"/>
          <w:b/>
          <w:bCs/>
          <w:szCs w:val="21"/>
          <w:u w:val="single"/>
        </w:rPr>
        <w:t>中含全套</w:t>
      </w:r>
      <w:r>
        <w:rPr>
          <w:rFonts w:hint="eastAsia" w:ascii="宋体" w:hAnsi="宋体" w:cs="宋体"/>
          <w:b/>
          <w:bCs/>
          <w:szCs w:val="21"/>
          <w:u w:val="single"/>
        </w:rPr>
        <w:t>正本</w:t>
      </w:r>
      <w:r>
        <w:rPr>
          <w:rFonts w:ascii="宋体" w:hAnsi="宋体" w:cs="宋体"/>
          <w:b/>
          <w:bCs/>
          <w:szCs w:val="21"/>
          <w:u w:val="single"/>
        </w:rPr>
        <w:t>谈判响应文件</w:t>
      </w:r>
      <w:r>
        <w:rPr>
          <w:rFonts w:hint="eastAsia" w:ascii="宋体" w:hAnsi="宋体" w:cs="宋体"/>
          <w:b/>
          <w:bCs/>
          <w:szCs w:val="21"/>
          <w:u w:val="single"/>
        </w:rPr>
        <w:t>）</w:t>
      </w:r>
      <w:r>
        <w:rPr>
          <w:rFonts w:hint="eastAsia" w:ascii="宋体" w:hAnsi="宋体" w:cs="宋体"/>
          <w:b/>
          <w:szCs w:val="21"/>
          <w:u w:val="single"/>
        </w:rPr>
        <w:t>。</w:t>
      </w:r>
      <w:r>
        <w:rPr>
          <w:rFonts w:hint="eastAsia" w:ascii="宋体" w:hAnsi="宋体" w:cs="宋体"/>
          <w:szCs w:val="21"/>
        </w:rPr>
        <w:t>谈判响应文件正本和副本如有不一致之处，以正本为准。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10.2谈判响应文件正本、副本必须全部是打印件。供应商应按照要求签字、</w:t>
      </w:r>
      <w:r>
        <w:rPr>
          <w:rFonts w:ascii="宋体" w:hAnsi="宋体" w:cs="宋体"/>
          <w:szCs w:val="21"/>
        </w:rPr>
        <w:t>盖章</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10.3谈判响应文件应无涂改和行间插字，供应商造成的必须修改的错误，修改处应加盖</w:t>
      </w:r>
      <w:r>
        <w:rPr>
          <w:rFonts w:ascii="宋体" w:hAnsi="宋体" w:cs="宋体"/>
          <w:szCs w:val="21"/>
        </w:rPr>
        <w:t>供应商公章，并</w:t>
      </w:r>
      <w:r>
        <w:rPr>
          <w:rFonts w:hint="eastAsia" w:ascii="宋体" w:hAnsi="宋体" w:cs="宋体"/>
          <w:szCs w:val="21"/>
        </w:rPr>
        <w:t>由谈判响应文件法定代表人</w:t>
      </w:r>
      <w:r>
        <w:rPr>
          <w:rFonts w:ascii="宋体" w:hAnsi="宋体" w:cs="宋体"/>
          <w:szCs w:val="21"/>
        </w:rPr>
        <w:t>或</w:t>
      </w:r>
      <w:r>
        <w:rPr>
          <w:rFonts w:hint="eastAsia" w:ascii="宋体" w:hAnsi="宋体" w:cs="宋体"/>
          <w:szCs w:val="21"/>
        </w:rPr>
        <w:t>代理人签字或</w:t>
      </w:r>
      <w:r>
        <w:rPr>
          <w:rFonts w:ascii="宋体" w:hAnsi="宋体" w:cs="宋体"/>
          <w:szCs w:val="21"/>
        </w:rPr>
        <w:t>盖章</w:t>
      </w:r>
      <w:r>
        <w:rPr>
          <w:rFonts w:hint="eastAsia" w:ascii="宋体" w:hAnsi="宋体" w:cs="宋体"/>
          <w:szCs w:val="21"/>
        </w:rPr>
        <w:t>，否则修改无效。</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谈判响应文件的有效期</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谈判响应</w:t>
      </w:r>
      <w:r>
        <w:rPr>
          <w:rFonts w:ascii="宋体" w:hAnsi="宋体" w:cs="宋体"/>
          <w:szCs w:val="21"/>
        </w:rPr>
        <w:t>文件</w:t>
      </w:r>
      <w:r>
        <w:rPr>
          <w:rFonts w:hint="eastAsia" w:ascii="宋体" w:hAnsi="宋体" w:cs="宋体"/>
          <w:szCs w:val="21"/>
        </w:rPr>
        <w:t>有效期为规定的谈判之日后</w:t>
      </w:r>
      <w:r>
        <w:rPr>
          <w:rFonts w:hint="eastAsia" w:ascii="宋体" w:hAnsi="宋体" w:cs="宋体"/>
          <w:b/>
          <w:szCs w:val="21"/>
          <w:u w:val="single"/>
        </w:rPr>
        <w:t>六十（60）天</w:t>
      </w:r>
      <w:r>
        <w:rPr>
          <w:rFonts w:hint="eastAsia" w:ascii="宋体" w:hAnsi="宋体" w:cs="宋体"/>
          <w:szCs w:val="21"/>
        </w:rPr>
        <w:t>。谈判响应</w:t>
      </w:r>
      <w:r>
        <w:rPr>
          <w:rFonts w:ascii="宋体" w:hAnsi="宋体" w:cs="宋体"/>
          <w:szCs w:val="21"/>
        </w:rPr>
        <w:t>文件</w:t>
      </w:r>
      <w:r>
        <w:rPr>
          <w:rFonts w:hint="eastAsia" w:ascii="宋体" w:hAnsi="宋体" w:cs="宋体"/>
          <w:szCs w:val="21"/>
        </w:rPr>
        <w:t>有效期比规定短的将被视为无效响应而予以拒绝。</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谈判响应文件的密封</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谈判响应文件</w:t>
      </w:r>
      <w:r>
        <w:rPr>
          <w:rFonts w:hint="eastAsia" w:ascii="宋体" w:hAnsi="宋体" w:cs="宋体"/>
          <w:b/>
          <w:szCs w:val="21"/>
        </w:rPr>
        <w:t>正本和副本应当密封，电子光盘应当单独密封，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加盖供应商公章。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谈判响应文件提交截止时间及</w:t>
      </w:r>
      <w:r>
        <w:rPr>
          <w:rFonts w:ascii="宋体" w:hAnsi="宋体" w:cs="宋体"/>
          <w:b/>
          <w:szCs w:val="21"/>
        </w:rPr>
        <w:t>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供应商应在规定的截止日期和时间之前将谈判响应文件提交至公告中注明的地点，凡逾期送达的谈判响应文件将不予接收。</w:t>
      </w:r>
    </w:p>
    <w:p>
      <w:pPr>
        <w:keepNext w:val="0"/>
        <w:keepLines w:val="0"/>
        <w:pageBreakBefore w:val="0"/>
        <w:widowControl w:val="0"/>
        <w:kinsoku/>
        <w:wordWrap/>
        <w:topLinePunct w:val="0"/>
        <w:bidi w:val="0"/>
        <w:adjustRightInd w:val="0"/>
        <w:snapToGrid w:val="0"/>
        <w:spacing w:line="360" w:lineRule="exact"/>
        <w:ind w:firstLine="430" w:firstLineChars="200"/>
        <w:textAlignment w:val="auto"/>
        <w:rPr>
          <w:rFonts w:ascii="宋体" w:hAnsi="宋体"/>
          <w:b/>
          <w:spacing w:val="2"/>
          <w:szCs w:val="21"/>
        </w:rPr>
      </w:pPr>
      <w:r>
        <w:rPr>
          <w:rFonts w:hint="eastAsia" w:ascii="宋体" w:hAnsi="宋体"/>
          <w:b/>
          <w:spacing w:val="2"/>
          <w:szCs w:val="21"/>
        </w:rPr>
        <w:t>供应商在提交谈判响应文件时须提供有效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法定代表人或代理人身份证原件，未提供的，代理机构不接收其谈判响应文件。</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谈判响应文件的修改和撤回</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供应商在提交谈判响应文件后，可以修改或撤回其谈判响应文件，但这种修改和撤回，必须在规定的谈判响应文件提交截止时间前，以书面形式通知代理机构。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供应商的修改或撤回文件应按规定进行编制、密封、标记和提交，并应在封套上加注“修改”或“撤回”字样。上述补充或修改若涉及谈判报价，必须注明“最后唯一报价”字样，否则将视为有选择的报价。修改文件必须在谈判响应文件提交截止时间前送达谈判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在谈判响应文件提交截止时间之后，供应商不得对其谈判响应文件作任何修改。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在谈判响应文件提交截止时间至竞争性谈判文件中规定的投标有效期满之间的这段时间内，供应商不得撤回其谈判响应，否则其谈判保证金将不予退还。</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15.谈判仪式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15.1代理机构按</w:t>
      </w:r>
      <w:r>
        <w:rPr>
          <w:rFonts w:hint="eastAsia" w:ascii="宋体" w:hAnsi="宋体"/>
          <w:szCs w:val="21"/>
        </w:rPr>
        <w:t>谈判公告</w:t>
      </w:r>
      <w:r>
        <w:rPr>
          <w:rFonts w:ascii="宋体" w:hAnsi="宋体"/>
          <w:szCs w:val="21"/>
        </w:rPr>
        <w:t>中</w:t>
      </w:r>
      <w:r>
        <w:rPr>
          <w:rFonts w:hint="eastAsia" w:ascii="宋体" w:hAnsi="宋体" w:cs="宋体"/>
          <w:szCs w:val="21"/>
        </w:rPr>
        <w:t>规定的时间、地点组织谈判</w:t>
      </w:r>
      <w:r>
        <w:rPr>
          <w:rFonts w:ascii="宋体" w:hAnsi="宋体" w:cs="宋体"/>
          <w:szCs w:val="21"/>
        </w:rPr>
        <w:t>开始仪式</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15.2供应商参加谈判</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16.谈判小组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cs="宋体"/>
          <w:szCs w:val="21"/>
        </w:rPr>
        <w:t>16.1谈判开始仪式结束后，代理机构将组织谈判小组进行评审。谈判小组由采购人代表和评审专家组成，且人员构成符合相关规定。谈判小组独立工作，负责评审所有谈判响应文件并确定成交侯选人。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 谈判小组负责具体的评审事务，并独立履行以下职责：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16.2.1</w:t>
      </w:r>
      <w:r>
        <w:rPr>
          <w:rFonts w:ascii="宋体" w:hAnsi="宋体" w:cs="宋体"/>
          <w:szCs w:val="21"/>
        </w:rPr>
        <w:t xml:space="preserve"> </w:t>
      </w:r>
      <w:r>
        <w:rPr>
          <w:rFonts w:hint="eastAsia" w:ascii="宋体" w:hAnsi="宋体" w:cs="宋体"/>
          <w:szCs w:val="21"/>
        </w:rPr>
        <w:t>审查、评价谈判响应文件是否符合竞争性谈判文件的商务、技术等实质性要求；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16.2.2</w:t>
      </w:r>
      <w:r>
        <w:rPr>
          <w:rFonts w:ascii="宋体" w:hAnsi="宋体" w:cs="宋体"/>
          <w:szCs w:val="21"/>
        </w:rPr>
        <w:t xml:space="preserve"> </w:t>
      </w:r>
      <w:r>
        <w:rPr>
          <w:rFonts w:hint="eastAsia" w:ascii="宋体" w:hAnsi="宋体" w:cs="宋体"/>
          <w:szCs w:val="21"/>
        </w:rPr>
        <w:t>要求供应商对谈判响应文件有关事项作出澄清或者说明；</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16.2.3</w:t>
      </w:r>
      <w:r>
        <w:rPr>
          <w:rFonts w:ascii="宋体" w:hAnsi="宋体" w:cs="宋体"/>
          <w:szCs w:val="21"/>
        </w:rPr>
        <w:t xml:space="preserve"> </w:t>
      </w:r>
      <w:r>
        <w:rPr>
          <w:rFonts w:hint="eastAsia" w:ascii="宋体" w:hAnsi="宋体" w:cs="宋体"/>
          <w:szCs w:val="21"/>
        </w:rPr>
        <w:t>对谈判响应文件进行比较和评价；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16.2.4</w:t>
      </w:r>
      <w:r>
        <w:rPr>
          <w:rFonts w:ascii="宋体" w:hAnsi="宋体" w:cs="宋体"/>
          <w:szCs w:val="21"/>
        </w:rPr>
        <w:t xml:space="preserve"> </w:t>
      </w:r>
      <w:r>
        <w:rPr>
          <w:rFonts w:hint="eastAsia" w:ascii="宋体" w:hAnsi="宋体" w:cs="宋体"/>
          <w:szCs w:val="21"/>
        </w:rPr>
        <w:t>推荐或</w:t>
      </w:r>
      <w:r>
        <w:rPr>
          <w:rFonts w:ascii="宋体" w:hAnsi="宋体" w:cs="宋体"/>
          <w:szCs w:val="21"/>
        </w:rPr>
        <w:t>确定</w:t>
      </w:r>
      <w:r>
        <w:rPr>
          <w:rFonts w:hint="eastAsia" w:ascii="宋体" w:hAnsi="宋体" w:cs="宋体"/>
          <w:szCs w:val="21"/>
        </w:rPr>
        <w:t>成交候选人；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向采购人、采购代理机构或者有关部门报告评审中发现的违法行为。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 谈判小组成员应当履行下列义务：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16.3.1遵纪守法，客观、公正、廉洁地履行职责；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16.3.2按照竞争性谈判文件规定的评审办法和评分标准进行评审，对评审意见承担个人责任；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16.3.3对评审过程和结果，以及供应商的商业秘密保密；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16.3.4负责评审报告的起草；</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16.3.6配合代理机构答复供应商对成交结果提出的质疑。</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17.评审内容的保密</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17.1谈判开始后，直到宣布授予成交供应商合同为止，凡属于审查、澄清、评价和比较谈判响应文件的所有资料，有关授予合同的信息都不应向供应商或与评审无关的其他人泄露。</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在评审过程中，供应商不得以任何行为影响评审过程，否则其谈判响应文件将被作为无效谈判响应文件。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在评审期间，代理机构将设专门人员与供应商联系。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代理机构和谈判小组不向未成交的供应商解释未成交原因，也不公布评审过程中的相关细节。</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18.对谈判响应文件的审查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谈判响应文件初审分为资格审查和符合性审查。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18.1资格审查：依据法律法规和竞争性谈判文件的规定，对谈判响应文件中的资格证明文件进行审查。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8</w:t>
      </w:r>
      <w:r>
        <w:rPr>
          <w:rFonts w:hint="eastAsia" w:cs="宋体" w:asciiTheme="minorEastAsia" w:hAnsiTheme="minorEastAsia" w:eastAsiaTheme="minorEastAsia"/>
          <w:sz w:val="21"/>
          <w:szCs w:val="21"/>
        </w:rPr>
        <w:t>.2</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符合性审查：依据竞争性谈判文件的规定，由谈判小组从谈判响应文件的有效性、完整性和对竞争性谈判文件的响应程度进行审查，以确定是否对竞争性谈判文件的实质性要求作出响应。</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int="eastAsia" w:cs="宋体" w:asciiTheme="minorEastAsia" w:hAnsiTheme="minorEastAsia" w:eastAsiaTheme="minorEastAsia"/>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响应性只根据谈判响应文件本身的内容，而不寻求外部的证据。如果谈判响应文件实质上没有响应竞争性谈判文件的要求，谈判小组将予以拒绝，</w:t>
      </w:r>
      <w:r>
        <w:rPr>
          <w:rFonts w:hint="eastAsia" w:hAnsi="宋体" w:cs="宋体"/>
          <w:sz w:val="21"/>
          <w:szCs w:val="21"/>
        </w:rPr>
        <w:t>供应商不得通过修改或撤销不合要求的偏离或保留而使其谈判响应</w:t>
      </w:r>
      <w:r>
        <w:rPr>
          <w:rFonts w:hAnsi="宋体" w:cs="宋体"/>
          <w:sz w:val="21"/>
          <w:szCs w:val="21"/>
        </w:rPr>
        <w:t>文件</w:t>
      </w:r>
      <w:r>
        <w:rPr>
          <w:rFonts w:hint="eastAsia" w:hAnsi="宋体" w:cs="宋体"/>
          <w:sz w:val="21"/>
          <w:szCs w:val="21"/>
        </w:rPr>
        <w:t>成为实质性响应。</w:t>
      </w:r>
    </w:p>
    <w:p>
      <w:pPr>
        <w:pStyle w:val="6"/>
        <w:keepNext w:val="0"/>
        <w:keepLines w:val="0"/>
        <w:pageBreakBefore w:val="0"/>
        <w:widowControl w:val="0"/>
        <w:kinsoku/>
        <w:wordWrap/>
        <w:overflowPunct w:val="0"/>
        <w:topLinePunct w:val="0"/>
        <w:bidi w:val="0"/>
        <w:adjustRightInd w:val="0"/>
        <w:snapToGrid w:val="0"/>
        <w:spacing w:line="360" w:lineRule="exact"/>
        <w:ind w:firstLine="422" w:firstLineChars="200"/>
        <w:textAlignment w:val="auto"/>
        <w:rPr>
          <w:rFonts w:hAnsi="宋体" w:cs="宋体"/>
          <w:sz w:val="21"/>
          <w:szCs w:val="21"/>
        </w:rPr>
      </w:pPr>
      <w:r>
        <w:rPr>
          <w:rFonts w:hint="eastAsia" w:hAnsi="宋体" w:cs="宋体"/>
          <w:b/>
          <w:sz w:val="21"/>
          <w:szCs w:val="21"/>
        </w:rPr>
        <w:t>18.3谈判响应文件出现下列情况之一的，将作为无效谈判响应文件处理</w:t>
      </w:r>
      <w:r>
        <w:rPr>
          <w:rFonts w:hint="eastAsia" w:hAnsi="宋体" w:cs="宋体"/>
          <w:sz w:val="21"/>
          <w:szCs w:val="21"/>
        </w:rPr>
        <w:t>：</w:t>
      </w:r>
      <w:r>
        <w:rPr>
          <w:rFonts w:hAnsi="宋体" w:cs="宋体"/>
          <w:sz w:val="21"/>
          <w:szCs w:val="21"/>
        </w:rPr>
        <w:t xml:space="preserve"> </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w:t>
      </w:r>
      <w:r>
        <w:rPr>
          <w:rFonts w:hint="eastAsia" w:ascii="宋体" w:hAnsi="宋体" w:cs="宋体"/>
          <w:szCs w:val="21"/>
        </w:rPr>
        <w:t>供应商未通过领购申请的或者在名称上和法人地位上与领购情况发生实质性改变的；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18.3.2</w:t>
      </w:r>
      <w:r>
        <w:rPr>
          <w:rFonts w:hint="eastAsia" w:ascii="宋体" w:hAnsi="宋体" w:cs="宋体"/>
          <w:szCs w:val="21"/>
        </w:rPr>
        <w:t>未按竞争性谈判文件要求缴纳谈判保证金的；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18.3.3</w:t>
      </w:r>
      <w:r>
        <w:rPr>
          <w:rFonts w:hint="eastAsia" w:ascii="宋体" w:hAnsi="宋体" w:cs="宋体"/>
          <w:szCs w:val="21"/>
        </w:rPr>
        <w:t>谈判响应文件提交时未按规定密封、盖章的，</w:t>
      </w:r>
      <w:r>
        <w:rPr>
          <w:rFonts w:ascii="宋体" w:hAnsi="宋体" w:cs="宋体"/>
          <w:szCs w:val="21"/>
        </w:rPr>
        <w:t>电子光盘未提供或未单独密封的</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ascii="宋体" w:hAnsi="宋体" w:cs="宋体"/>
          <w:b/>
          <w:szCs w:val="21"/>
        </w:rPr>
        <w:t>18.3.4</w:t>
      </w:r>
      <w:r>
        <w:rPr>
          <w:rFonts w:hint="eastAsia" w:ascii="宋体" w:hAnsi="宋体" w:cs="宋体"/>
          <w:b/>
          <w:szCs w:val="21"/>
        </w:rPr>
        <w:t>供应商被列入失信被执行人、重大税收违法案件当事人名单、政府采购严重失信行为记录名单的。（查询渠道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18.3.5</w:t>
      </w:r>
      <w:r>
        <w:rPr>
          <w:rFonts w:hint="eastAsia" w:ascii="宋体" w:hAnsi="宋体" w:cs="宋体"/>
          <w:szCs w:val="21"/>
        </w:rPr>
        <w:t>谈判响应文件未按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项材料或者</w:t>
      </w:r>
      <w:r>
        <w:rPr>
          <w:rFonts w:ascii="宋体" w:hAnsi="宋体" w:cs="宋体"/>
          <w:szCs w:val="21"/>
        </w:rPr>
        <w:t>与</w:t>
      </w:r>
      <w:r>
        <w:rPr>
          <w:rFonts w:hint="eastAsia" w:ascii="宋体" w:hAnsi="宋体" w:cs="宋体"/>
          <w:szCs w:val="21"/>
        </w:rPr>
        <w:t>带</w:t>
      </w:r>
      <w:r>
        <w:rPr>
          <w:rFonts w:ascii="宋体" w:hAnsi="宋体" w:cs="宋体"/>
          <w:szCs w:val="21"/>
        </w:rPr>
        <w:t>“*”</w:t>
      </w:r>
      <w:r>
        <w:rPr>
          <w:rFonts w:hint="eastAsia" w:ascii="宋体" w:hAnsi="宋体" w:cs="宋体"/>
          <w:szCs w:val="21"/>
        </w:rPr>
        <w:t>项内容存在</w:t>
      </w:r>
      <w:r>
        <w:rPr>
          <w:rFonts w:ascii="宋体" w:hAnsi="宋体" w:cs="宋体"/>
          <w:szCs w:val="21"/>
        </w:rPr>
        <w:t>负偏离</w:t>
      </w:r>
      <w:r>
        <w:rPr>
          <w:rFonts w:hint="eastAsia" w:ascii="宋体" w:hAnsi="宋体" w:cs="宋体"/>
          <w:szCs w:val="21"/>
        </w:rPr>
        <w:t>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18.3.7</w:t>
      </w:r>
      <w:r>
        <w:rPr>
          <w:rFonts w:hint="eastAsia" w:ascii="宋体" w:hAnsi="宋体" w:cs="宋体"/>
          <w:szCs w:val="21"/>
        </w:rPr>
        <w:t>谈判响应文件未按竞争性谈判文件规定的格式、内容和要求编制，谈判响应文件字迹潦草、模糊、难以辨认；</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18.3.8</w:t>
      </w:r>
      <w:r>
        <w:rPr>
          <w:rFonts w:hint="eastAsia" w:ascii="宋体" w:hAnsi="宋体" w:cs="宋体"/>
          <w:szCs w:val="21"/>
        </w:rPr>
        <w:t>谈判响应文件材料所述情况和所附相关资料不实的；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18.3.9</w:t>
      </w:r>
      <w:r>
        <w:rPr>
          <w:rFonts w:hint="eastAsia" w:ascii="宋体" w:hAnsi="宋体" w:cs="宋体"/>
          <w:szCs w:val="21"/>
        </w:rPr>
        <w:t>供应商以他人的名义参加谈判、相互串通、以行贿手段谋取成交或者以其他弄虚作假方式参与谈判的。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18.3.10</w:t>
      </w:r>
      <w:r>
        <w:rPr>
          <w:rFonts w:hint="eastAsia" w:ascii="宋体" w:hAnsi="宋体" w:cs="宋体"/>
          <w:szCs w:val="21"/>
        </w:rPr>
        <w:t>供应商在一份谈判响应文件中，对同一招标项目报有两个或多个报价，且未书面确定以哪个报价为准的；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18.3.11</w:t>
      </w:r>
      <w:r>
        <w:rPr>
          <w:rFonts w:hint="eastAsia" w:ascii="宋体" w:hAnsi="宋体" w:cs="宋体"/>
          <w:szCs w:val="21"/>
        </w:rPr>
        <w:t>供应商的谈判报价超出采购预算或者最高限价的；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hint="eastAsia" w:ascii="宋体" w:hAnsi="宋体" w:cs="宋体"/>
          <w:b/>
          <w:szCs w:val="21"/>
        </w:rPr>
        <w:t>18.</w:t>
      </w:r>
      <w:r>
        <w:rPr>
          <w:rFonts w:ascii="宋体" w:hAnsi="宋体" w:cs="宋体"/>
          <w:b/>
          <w:szCs w:val="21"/>
        </w:rPr>
        <w:t>3</w:t>
      </w:r>
      <w:r>
        <w:rPr>
          <w:rFonts w:hint="eastAsia" w:ascii="宋体" w:hAnsi="宋体" w:cs="宋体"/>
          <w:b/>
          <w:szCs w:val="21"/>
        </w:rPr>
        <w:t>.1</w:t>
      </w:r>
      <w:r>
        <w:rPr>
          <w:rFonts w:ascii="宋体" w:hAnsi="宋体" w:cs="宋体"/>
          <w:b/>
          <w:szCs w:val="21"/>
        </w:rPr>
        <w:t>2</w:t>
      </w:r>
      <w:r>
        <w:rPr>
          <w:rFonts w:hint="eastAsia" w:ascii="宋体" w:hAnsi="宋体" w:cs="宋体"/>
          <w:b/>
          <w:szCs w:val="21"/>
        </w:rPr>
        <w:t>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18.3.13</w:t>
      </w:r>
      <w:r>
        <w:rPr>
          <w:rFonts w:hint="eastAsia" w:ascii="宋体" w:hAnsi="宋体" w:cs="宋体"/>
          <w:szCs w:val="21"/>
        </w:rPr>
        <w:t>谈判响应文件含有采购人不能接受的附加条件的；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18.3.14</w:t>
      </w:r>
      <w:r>
        <w:rPr>
          <w:rFonts w:hint="eastAsia" w:ascii="宋体" w:hAnsi="宋体" w:cs="宋体"/>
          <w:szCs w:val="21"/>
        </w:rPr>
        <w:t>竞争性谈判文件明确规定无效的其他情形，或者其他被谈判小组认定无效的情况；</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18.3.15</w:t>
      </w:r>
      <w:r>
        <w:rPr>
          <w:rFonts w:hint="eastAsia" w:ascii="宋体" w:hAnsi="宋体" w:cs="宋体"/>
          <w:szCs w:val="21"/>
        </w:rPr>
        <w:t>不符合法律、法规和竞争性谈判文件规定的其他实质性要求的。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有下列情形之一的，视为供应商串通，无效响应：</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.1不同供应商的谈判响应文件由同一单位或者个人编制；</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2不同供应商委托同一单位或者个人办理投标事宜；</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3 不同供应商的谈判响应文件载明的项目管理成员或者联系人员为同一人；</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4不同供应商的谈判响应文件异常一致或者谈判报价呈规律性差异；</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5不同供应商的谈判响应文件相互混装；</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6不同供应商的谈判保证金从同一单位或者个人的账户转出。</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b/>
          <w:kern w:val="0"/>
          <w:szCs w:val="21"/>
        </w:rPr>
        <w:t>.谈判响应</w:t>
      </w:r>
      <w:r>
        <w:rPr>
          <w:rFonts w:ascii="宋体" w:hAnsi="宋体" w:cs="宋体"/>
          <w:b/>
          <w:kern w:val="0"/>
          <w:szCs w:val="21"/>
        </w:rPr>
        <w:t>文件</w:t>
      </w:r>
      <w:r>
        <w:rPr>
          <w:rFonts w:hint="eastAsia" w:ascii="宋体" w:hAnsi="宋体" w:cs="宋体"/>
          <w:b/>
          <w:kern w:val="0"/>
          <w:szCs w:val="21"/>
        </w:rPr>
        <w:t>的澄清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19.2 谈判小组可要求供应商就澄清的问题作出答复，该答复经供应商代表的签字认可，将作为谈判响应文件内容的一部分。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19.3 供应商在进行澄清、说明、答辩或补正时，不得改变谈判的价格（校核时发现的算术错误除外）、超出竞争性谈判文件的范围及改变谈判响应文件的实质性内容。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ascii="宋体" w:hAnsi="宋体" w:cs="Arial"/>
          <w:szCs w:val="21"/>
        </w:rPr>
        <w:t>谈判响应文件报价出现前后不一致的，除竞争性谈判文件另有规定外，按照下列规定修正</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.1谈判响应文件中报价一览表内容与谈判响应文件中相应内容不一致的，以报价一览表为准；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.2 谈判响应文件的大写金额与小写金额不一致的，以大写金额为准；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19.4.4</w:t>
      </w:r>
      <w:r>
        <w:rPr>
          <w:rFonts w:ascii="宋体" w:hAnsi="宋体" w:cs="宋体"/>
          <w:szCs w:val="21"/>
        </w:rPr>
        <w:t xml:space="preserve"> </w:t>
      </w:r>
      <w:r>
        <w:rPr>
          <w:rFonts w:hint="eastAsia" w:ascii="宋体" w:hAnsi="宋体" w:cs="宋体"/>
          <w:szCs w:val="21"/>
        </w:rPr>
        <w:t>总价金额与按单价汇总金额不一致的，以单价金额计算结果为准。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同时出现两种以上不一致的，按照前款规定的顺序修正。修正后的报价按照本竞争性谈判文件规定经供应商确认后产生约束力，供应商不确认的，视为无效</w:t>
      </w:r>
      <w:r>
        <w:rPr>
          <w:rFonts w:ascii="宋体" w:hAnsi="宋体" w:cs="宋体"/>
          <w:szCs w:val="21"/>
        </w:rPr>
        <w:t>响应</w:t>
      </w:r>
      <w:r>
        <w:rPr>
          <w:rFonts w:hint="eastAsia" w:ascii="宋体" w:hAnsi="宋体" w:cs="宋体"/>
          <w:szCs w:val="21"/>
        </w:rPr>
        <w:t>，其谈判保证金不予退还。</w:t>
      </w:r>
      <w:r>
        <w:rPr>
          <w:rFonts w:hint="eastAsia" w:ascii="宋体" w:hAnsi="宋体" w:cs="宋体"/>
          <w:b/>
          <w:szCs w:val="21"/>
        </w:rPr>
        <w:t>存在缺项漏项或者数量不符合竞争性谈判文件要求的作为无效谈判响应文件处理</w:t>
      </w:r>
      <w:r>
        <w:rPr>
          <w:rFonts w:hint="eastAsia" w:ascii="宋体" w:hAnsi="宋体" w:cs="宋体"/>
          <w:szCs w:val="21"/>
        </w:rPr>
        <w:t>；对不同文字文本谈判响应文件的解释发生异议的，以中文文本为准。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19.5供应商拒不按照谈判小组要求作出澄清、说明或者补正的，作为无效响应处理。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19.6</w:t>
      </w:r>
      <w:r>
        <w:rPr>
          <w:rFonts w:hint="eastAsia" w:ascii="宋体" w:hAnsi="宋体" w:cs="宋体"/>
          <w:szCs w:val="21"/>
        </w:rPr>
        <w:t>谈判小组对谈判响应文件的判定，只依据谈判</w:t>
      </w:r>
      <w:r>
        <w:rPr>
          <w:rFonts w:ascii="宋体" w:hAnsi="宋体" w:cs="宋体"/>
          <w:szCs w:val="21"/>
        </w:rPr>
        <w:t>响应文件</w:t>
      </w:r>
      <w:r>
        <w:rPr>
          <w:rFonts w:hint="eastAsia" w:ascii="宋体" w:hAnsi="宋体" w:cs="宋体"/>
          <w:szCs w:val="21"/>
        </w:rPr>
        <w:t>内容本身，不依靠谈判开始后的任何外来证明。谈判响应文件提交截止时间后，供应商对谈判报价或其他实质性内容修正的函件和增加的任何优惠条件，一律不得作为评审、确定成交</w:t>
      </w:r>
      <w:r>
        <w:rPr>
          <w:rFonts w:ascii="宋体" w:hAnsi="宋体" w:cs="宋体"/>
          <w:szCs w:val="21"/>
        </w:rPr>
        <w:t>供应商</w:t>
      </w:r>
      <w:r>
        <w:rPr>
          <w:rFonts w:hint="eastAsia" w:ascii="宋体" w:hAnsi="宋体" w:cs="宋体"/>
          <w:szCs w:val="21"/>
        </w:rPr>
        <w:t>的依据。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因情况变化，不再符合规定的竞争性谈判采购方式适用情形的</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3供应商的最终报价均超过了采购预算，采购人不能支付的；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4</w:t>
      </w:r>
      <w:r>
        <w:rPr>
          <w:rFonts w:ascii="宋体" w:hAnsi="宋体" w:cs="宋体"/>
          <w:szCs w:val="21"/>
        </w:rPr>
        <w:t xml:space="preserve"> </w:t>
      </w:r>
      <w:r>
        <w:rPr>
          <w:rFonts w:hint="eastAsia" w:ascii="宋体" w:hAnsi="宋体" w:cs="宋体"/>
          <w:szCs w:val="21"/>
        </w:rPr>
        <w:t>因重大变故，采购任务取消的。</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w:t>
      </w:r>
      <w:r>
        <w:rPr>
          <w:rFonts w:ascii="宋体" w:hAnsi="宋体" w:cs="宋体"/>
          <w:b/>
          <w:szCs w:val="21"/>
        </w:rPr>
        <w:t>供应商</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w:t>
      </w:r>
      <w:r>
        <w:rPr>
          <w:rFonts w:ascii="宋体" w:hAnsi="宋体" w:cs="宋体"/>
          <w:b/>
          <w:bCs/>
          <w:szCs w:val="21"/>
        </w:rPr>
        <w:t>1</w:t>
      </w:r>
      <w:r>
        <w:rPr>
          <w:rFonts w:hint="eastAsia" w:ascii="宋体" w:hAnsi="宋体" w:cs="宋体"/>
          <w:b/>
          <w:bCs/>
          <w:szCs w:val="21"/>
        </w:rPr>
        <w:t>.1本项目采用最低评标价法。谈判小组将从质量和服务均能满足采购文件实质性响应要求的供应商中，按照最后报价由低到高顺序推荐成交候选人。</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szCs w:val="21"/>
        </w:rPr>
      </w:pPr>
      <w:r>
        <w:rPr>
          <w:rFonts w:hint="eastAsia" w:ascii="宋体" w:hAnsi="宋体" w:cs="宋体"/>
          <w:b/>
          <w:bCs/>
          <w:kern w:val="0"/>
          <w:szCs w:val="21"/>
        </w:rPr>
        <w:t>2</w:t>
      </w:r>
      <w:r>
        <w:rPr>
          <w:rFonts w:ascii="宋体" w:hAnsi="宋体" w:cs="宋体"/>
          <w:b/>
          <w:bCs/>
          <w:kern w:val="0"/>
          <w:szCs w:val="21"/>
        </w:rPr>
        <w:t>1</w:t>
      </w: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szCs w:val="21"/>
          <w:u w:val="single"/>
        </w:rPr>
        <w:t>采购人授权谈判小组直接确定成交供应商。</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sz w:val="21"/>
          <w:szCs w:val="21"/>
        </w:rPr>
      </w:pPr>
      <w:r>
        <w:rPr>
          <w:rFonts w:hint="eastAsia" w:hAnsi="宋体" w:cs="宋体"/>
          <w:sz w:val="21"/>
          <w:szCs w:val="21"/>
        </w:rPr>
        <w:t>22.1 代理机构将成交结果在</w:t>
      </w:r>
      <w:r>
        <w:rPr>
          <w:rFonts w:hint="eastAsia" w:hAnsi="宋体"/>
          <w:sz w:val="21"/>
          <w:szCs w:val="21"/>
        </w:rPr>
        <w:t>中国</w:t>
      </w:r>
      <w:r>
        <w:rPr>
          <w:rFonts w:hAnsi="宋体"/>
          <w:sz w:val="21"/>
          <w:szCs w:val="21"/>
        </w:rPr>
        <w:t>招投标网、</w:t>
      </w:r>
      <w:r>
        <w:rPr>
          <w:rFonts w:hint="eastAsia" w:hAnsi="宋体" w:cs="宋体"/>
          <w:sz w:val="21"/>
          <w:szCs w:val="21"/>
        </w:rPr>
        <w:t>常州市城投建设工程招标有限公司网站上予以公告。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若有充分证据证明，成交供应商出现下列情况之一的，一经查实，将被取消成交资格：</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.1提供虚假材料谋取成交的；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2向采购人、代理机构行贿或者提供其他不正当利益的。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.3恶意竞争，最终总报价明显低于其自身合理成本且又无法提供证明的。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.4不满足本采购文件规定的实质性要求，但在评审过程中又未被谈判小组发现的。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.5与采购人或者其他供应商恶意串通的。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.6采取不正当手段诋毁、排挤其他供应商的。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Ansi="宋体" w:cs="宋体"/>
          <w:szCs w:val="21"/>
        </w:rPr>
      </w:pPr>
      <w:r>
        <w:rPr>
          <w:rFonts w:hint="eastAsia" w:ascii="宋体" w:hAnsi="宋体"/>
          <w:szCs w:val="21"/>
        </w:rPr>
        <w:t>22.2.7</w:t>
      </w:r>
      <w:r>
        <w:rPr>
          <w:rFonts w:hint="eastAsia" w:hAnsi="宋体"/>
          <w:szCs w:val="21"/>
        </w:rPr>
        <w:t>法律、法规、规章规定的属于成交无效的其他情形。</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int="eastAsia" w:hAnsi="宋体" w:cs="宋体"/>
          <w:sz w:val="21"/>
          <w:szCs w:val="21"/>
        </w:rPr>
        <w:t>2</w:t>
      </w:r>
      <w:r>
        <w:rPr>
          <w:rFonts w:hAnsi="宋体" w:cs="宋体"/>
          <w:sz w:val="21"/>
          <w:szCs w:val="21"/>
        </w:rPr>
        <w:t>2</w:t>
      </w:r>
      <w:r>
        <w:rPr>
          <w:rFonts w:hint="eastAsia" w:hAnsi="宋体" w:cs="宋体"/>
          <w:sz w:val="21"/>
          <w:szCs w:val="21"/>
        </w:rPr>
        <w:t>.</w:t>
      </w:r>
      <w:r>
        <w:rPr>
          <w:rFonts w:hAnsi="宋体" w:cs="宋体"/>
          <w:sz w:val="21"/>
          <w:szCs w:val="21"/>
        </w:rPr>
        <w:t xml:space="preserve">3 </w:t>
      </w:r>
      <w:r>
        <w:rPr>
          <w:rFonts w:hint="eastAsia" w:hAnsi="宋体" w:cs="宋体"/>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Pr>
          <w:rFonts w:hAnsi="宋体" w:cs="宋体"/>
          <w:sz w:val="21"/>
          <w:szCs w:val="21"/>
        </w:rPr>
        <w:t>部门</w:t>
      </w:r>
      <w:r>
        <w:rPr>
          <w:rFonts w:hint="eastAsia" w:hAnsi="宋体" w:cs="宋体"/>
          <w:sz w:val="21"/>
          <w:szCs w:val="21"/>
        </w:rPr>
        <w:t>对该供应商进行相应的处罚。</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int="eastAsia"/>
          <w:sz w:val="21"/>
          <w:szCs w:val="21"/>
        </w:rPr>
        <w:t>未参加谈判活动的供应商或在谈判活动中自身权益未受到损害的供应商所提出的质疑不予受理。</w:t>
      </w:r>
      <w:r>
        <w:rPr>
          <w:rFonts w:hint="eastAsia" w:hAnsi="宋体" w:cs="宋体"/>
          <w:sz w:val="21"/>
          <w:szCs w:val="21"/>
        </w:rPr>
        <w:t>如有参加</w:t>
      </w:r>
      <w:r>
        <w:rPr>
          <w:rFonts w:hint="eastAsia"/>
          <w:sz w:val="21"/>
          <w:szCs w:val="21"/>
        </w:rPr>
        <w:t>谈判</w:t>
      </w:r>
      <w:r>
        <w:rPr>
          <w:rFonts w:hint="eastAsia" w:hAnsi="宋体" w:cs="宋体"/>
          <w:sz w:val="21"/>
          <w:szCs w:val="21"/>
        </w:rPr>
        <w:t>的供应商提出有效质疑，并因此可能对成交结果产生影响，而最终被取消成交的，代理机构对成交供应商不承担任何责任。</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w:t>
      </w:r>
      <w:r>
        <w:rPr>
          <w:rFonts w:hAnsi="宋体" w:cs="宋体"/>
          <w:sz w:val="21"/>
          <w:szCs w:val="21"/>
        </w:rPr>
        <w:t xml:space="preserve"> </w:t>
      </w:r>
      <w:r>
        <w:rPr>
          <w:rFonts w:hint="eastAsia" w:hAnsi="宋体" w:cs="宋体"/>
          <w:sz w:val="21"/>
          <w:szCs w:val="21"/>
        </w:rPr>
        <w:t>成交结果确定后，代理机构将向成交供应商发出成交通知书。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w:t>
      </w:r>
      <w:r>
        <w:rPr>
          <w:rFonts w:hAnsi="宋体" w:cs="宋体"/>
          <w:sz w:val="21"/>
          <w:szCs w:val="21"/>
        </w:rPr>
        <w:t xml:space="preserve"> </w:t>
      </w:r>
      <w:r>
        <w:rPr>
          <w:rFonts w:hint="eastAsia" w:hAnsi="宋体" w:cs="宋体"/>
          <w:sz w:val="21"/>
          <w:szCs w:val="21"/>
        </w:rPr>
        <w:t>成交通知书对采购人和成交供应商具有法律约束力。成交通知书发出后，采购人改变成交结果或者成交供应商放弃成交，均应当承担相应的法律责任，且不影响服务费的支付。</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代理机构及采购人对未成交供应商不承担解释未成交原因的义务。</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Ansi="宋体" w:cs="宋体"/>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.1成交供应商应</w:t>
      </w:r>
      <w:r>
        <w:rPr>
          <w:rFonts w:hint="eastAsia" w:hAnsi="宋体" w:cs="宋体"/>
          <w:bCs/>
          <w:sz w:val="21"/>
          <w:szCs w:val="21"/>
        </w:rPr>
        <w:t>在合同签订前</w:t>
      </w:r>
      <w:r>
        <w:rPr>
          <w:rFonts w:hint="eastAsia" w:hAnsi="宋体" w:cs="宋体"/>
          <w:sz w:val="21"/>
          <w:szCs w:val="21"/>
        </w:rPr>
        <w:t>向</w:t>
      </w:r>
      <w:r>
        <w:rPr>
          <w:rFonts w:hint="eastAsia" w:hAnsi="宋体" w:cs="宋体"/>
          <w:b/>
          <w:sz w:val="21"/>
          <w:szCs w:val="21"/>
        </w:rPr>
        <w:t>采购人</w:t>
      </w:r>
      <w:r>
        <w:rPr>
          <w:rFonts w:hint="eastAsia" w:hAnsi="宋体" w:cs="宋体"/>
          <w:sz w:val="21"/>
          <w:szCs w:val="21"/>
        </w:rPr>
        <w:t>提供合同</w:t>
      </w:r>
      <w:r>
        <w:rPr>
          <w:rFonts w:hint="eastAsia" w:hAnsi="宋体" w:cs="宋体"/>
          <w:b/>
          <w:bCs/>
          <w:sz w:val="21"/>
          <w:szCs w:val="21"/>
        </w:rPr>
        <w:t>总价格</w:t>
      </w:r>
      <w:r>
        <w:rPr>
          <w:rFonts w:hAnsi="宋体" w:cs="宋体"/>
          <w:b/>
          <w:bCs/>
          <w:sz w:val="21"/>
          <w:szCs w:val="21"/>
        </w:rPr>
        <w:t>5%</w:t>
      </w:r>
      <w:r>
        <w:rPr>
          <w:rFonts w:hint="eastAsia" w:hAnsi="宋体" w:cs="宋体"/>
          <w:sz w:val="21"/>
          <w:szCs w:val="21"/>
        </w:rPr>
        <w:t>的履约保证金，并注明××项目履约保证金。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Ansi="宋体" w:cs="宋体"/>
          <w:b/>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w:t>
      </w:r>
      <w:r>
        <w:rPr>
          <w:rFonts w:hAnsi="宋体" w:cs="宋体"/>
          <w:sz w:val="21"/>
          <w:szCs w:val="21"/>
        </w:rPr>
        <w:t>2</w:t>
      </w:r>
      <w:r>
        <w:rPr>
          <w:rFonts w:hint="eastAsia" w:hAnsi="宋体" w:cs="宋体"/>
          <w:b/>
          <w:sz w:val="21"/>
          <w:szCs w:val="21"/>
        </w:rPr>
        <w:t>履约保证金将在项目结束后15日</w:t>
      </w:r>
      <w:r>
        <w:rPr>
          <w:rFonts w:hAnsi="宋体" w:cs="宋体"/>
          <w:b/>
          <w:sz w:val="21"/>
          <w:szCs w:val="21"/>
        </w:rPr>
        <w:t>内</w:t>
      </w:r>
      <w:r>
        <w:rPr>
          <w:rFonts w:hint="eastAsia" w:hAnsi="宋体" w:cs="宋体"/>
          <w:b/>
          <w:sz w:val="21"/>
          <w:szCs w:val="21"/>
        </w:rPr>
        <w:t>（无息）退返成交供应商。</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.1代理服务收费标准</w:t>
      </w:r>
    </w:p>
    <w:tbl>
      <w:tblPr>
        <w:tblStyle w:val="21"/>
        <w:tblW w:w="5012"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trPr>
        <w:tc>
          <w:tcPr>
            <w:tcW w:w="2798" w:type="dxa"/>
          </w:tcPr>
          <w:p>
            <w:pPr>
              <w:spacing w:line="440" w:lineRule="exact"/>
              <w:ind w:firstLine="945" w:firstLineChars="450"/>
              <w:rPr>
                <w:rFonts w:ascii="宋体" w:hAnsi="宋体" w:cs="宋体"/>
                <w:bCs/>
                <w:szCs w:val="21"/>
              </w:rPr>
            </w:pPr>
            <w:r>
              <w:rPr>
                <w:rFonts w:ascii="宋体" w:hAnsi="宋体" w:cs="宋体"/>
                <w:bCs/>
                <w:szCs w:val="21"/>
              </w:rPr>
              <w:pict>
                <v:line id="Line 47" o:spid="_x0000_s1041" o:spt="20" style="position:absolute;left:0pt;flip:x y;margin-left:27pt;margin-top:-0.4pt;height:134.6pt;width:107.55pt;z-index:25167974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k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C/cgYkJgIAAEMEAAAOAAAAAAAAAAAAAAAAAC4CAABkcnMvZTJvRG9jLnht&#10;bFBLAQItABQABgAIAAAAIQBFrlYL2gAAAAgBAAAPAAAAAAAAAAAAAAAAAIAEAABkcnMvZG93bnJl&#10;di54bWxQSwUGAAAAAAQABADzAAAAhwUAAAAA&#10;">
                  <v:path arrowok="t"/>
                  <v:fill focussize="0,0"/>
                  <v:stroke/>
                  <v:imagedata o:title=""/>
                  <o:lock v:ext="edit"/>
                </v:line>
              </w:pict>
            </w:r>
            <w:r>
              <w:rPr>
                <w:rFonts w:ascii="宋体" w:hAnsi="宋体" w:cs="宋体"/>
                <w:bCs/>
                <w:szCs w:val="21"/>
              </w:rPr>
              <w:pict>
                <v:line id="Line 45" o:spid="_x0000_s1039" o:spt="20" style="position:absolute;left:0pt;margin-left:-8.9pt;margin-top:-0.4pt;height:0pt;width:0.05pt;z-index:2516776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yuQoGhACAAAl&#10;BAAADgAAAAAAAAAAAAAAAAAuAgAAZHJzL2Uyb0RvYy54bWxQSwECLQAUAAYACAAAACEAAYLVONkA&#10;AAAHAQAADwAAAAAAAAAAAAAAAABqBAAAZHJzL2Rvd25yZXYueG1sUEsFBgAAAAAEAAQA8wAAAHAF&#10;AAAAAA==&#10;">
                  <v:path arrowok="t"/>
                  <v:fill focussize="0,0"/>
                  <v:stroke/>
                  <v:imagedata o:title=""/>
                  <o:lock v:ext="edit"/>
                </v:line>
              </w:pict>
            </w:r>
            <w:r>
              <w:rPr>
                <w:rFonts w:hint="eastAsia" w:ascii="宋体" w:hAnsi="宋体" w:cs="宋体"/>
                <w:bCs/>
                <w:szCs w:val="21"/>
              </w:rPr>
              <w:t>服</w:t>
            </w:r>
          </w:p>
          <w:p>
            <w:pPr>
              <w:spacing w:line="440" w:lineRule="exact"/>
              <w:ind w:firstLine="210" w:firstLineChars="100"/>
              <w:rPr>
                <w:rFonts w:ascii="宋体" w:hAnsi="宋体" w:cs="宋体"/>
                <w:bCs/>
                <w:szCs w:val="21"/>
              </w:rPr>
            </w:pPr>
            <w:r>
              <w:rPr>
                <w:rFonts w:hint="eastAsia" w:ascii="宋体" w:hAnsi="宋体" w:cs="宋体"/>
                <w:bCs/>
                <w:szCs w:val="21"/>
              </w:rPr>
              <w:t>费　　　  务</w:t>
            </w:r>
          </w:p>
          <w:p>
            <w:pPr>
              <w:spacing w:line="440" w:lineRule="exact"/>
              <w:ind w:firstLine="1260" w:firstLineChars="600"/>
              <w:rPr>
                <w:rFonts w:ascii="宋体" w:hAnsi="宋体" w:cs="宋体"/>
                <w:bCs/>
                <w:szCs w:val="21"/>
              </w:rPr>
            </w:pPr>
            <w:r>
              <w:rPr>
                <w:rFonts w:ascii="宋体" w:hAnsi="宋体" w:cs="宋体"/>
                <w:bCs/>
                <w:szCs w:val="21"/>
              </w:rPr>
              <w:pict>
                <v:line id="Line 46" o:spid="_x0000_s1040" o:spt="20" style="position:absolute;left:0pt;flip:x y;margin-left:-6.55pt;margin-top:7.15pt;height:83.05pt;width:141.1pt;z-index:25167872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">
                  <v:path arrowok="t"/>
                  <v:fill focussize="0,0"/>
                  <v:stroke/>
                  <v:imagedata o:title=""/>
                  <o:lock v:ext="edit"/>
                </v:line>
              </w:pict>
            </w:r>
            <w:r>
              <w:rPr>
                <w:rFonts w:hint="eastAsia" w:ascii="宋体" w:hAnsi="宋体" w:cs="宋体"/>
                <w:bCs/>
                <w:szCs w:val="21"/>
              </w:rPr>
              <w:t>　  类</w:t>
            </w:r>
          </w:p>
          <w:p>
            <w:pPr>
              <w:spacing w:line="440" w:lineRule="exact"/>
              <w:ind w:firstLine="1050" w:firstLineChars="500"/>
              <w:rPr>
                <w:rFonts w:ascii="宋体" w:hAnsi="宋体" w:cs="宋体"/>
                <w:bCs/>
                <w:szCs w:val="21"/>
              </w:rPr>
            </w:pPr>
            <w:r>
              <w:rPr>
                <w:rFonts w:hint="eastAsia" w:ascii="宋体" w:hAnsi="宋体" w:cs="宋体"/>
                <w:bCs/>
                <w:szCs w:val="21"/>
              </w:rPr>
              <w:t>率　     型</w:t>
            </w:r>
          </w:p>
          <w:p>
            <w:pPr>
              <w:spacing w:line="440" w:lineRule="exact"/>
              <w:ind w:firstLine="1050" w:firstLineChars="500"/>
              <w:rPr>
                <w:rFonts w:ascii="宋体" w:hAnsi="宋体" w:cs="宋体"/>
                <w:bCs/>
                <w:szCs w:val="21"/>
              </w:rPr>
            </w:pPr>
            <w:r>
              <w:rPr>
                <w:rFonts w:hint="eastAsia" w:ascii="宋体" w:hAnsi="宋体" w:cs="宋体"/>
                <w:bCs/>
                <w:szCs w:val="21"/>
              </w:rPr>
              <w:t>　　　　</w:t>
            </w:r>
          </w:p>
          <w:p>
            <w:pPr>
              <w:spacing w:line="440" w:lineRule="exact"/>
              <w:rPr>
                <w:rFonts w:ascii="宋体" w:hAnsi="宋体" w:cs="宋体"/>
                <w:bCs/>
                <w:szCs w:val="21"/>
              </w:rPr>
            </w:pPr>
            <w:r>
              <w:rPr>
                <w:rFonts w:hint="eastAsia" w:ascii="宋体" w:hAnsi="宋体" w:cs="宋体"/>
                <w:bCs/>
                <w:szCs w:val="21"/>
              </w:rPr>
              <w:t>成交金额（万元）</w:t>
            </w:r>
          </w:p>
        </w:tc>
        <w:tc>
          <w:tcPr>
            <w:tcW w:w="2214" w:type="dxa"/>
            <w:vAlign w:val="center"/>
          </w:tcPr>
          <w:p>
            <w:pPr>
              <w:spacing w:line="440" w:lineRule="exact"/>
              <w:jc w:val="center"/>
              <w:rPr>
                <w:rFonts w:ascii="宋体" w:hAnsi="宋体" w:cs="宋体"/>
                <w:bCs/>
                <w:szCs w:val="21"/>
              </w:rPr>
            </w:pPr>
            <w:r>
              <w:rPr>
                <w:rFonts w:hint="eastAsia" w:ascii="宋体" w:hAnsi="宋体" w:cs="宋体"/>
                <w:bCs/>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100（含，下同）以下</w:t>
            </w:r>
          </w:p>
        </w:tc>
        <w:tc>
          <w:tcPr>
            <w:tcW w:w="2214"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100-500</w:t>
            </w:r>
          </w:p>
        </w:tc>
        <w:tc>
          <w:tcPr>
            <w:tcW w:w="2214"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宋体" w:asciiTheme="minorEastAsia" w:hAnsiTheme="minorEastAsia" w:eastAsiaTheme="minorEastAsia"/>
                <w:szCs w:val="21"/>
              </w:rPr>
            </w:pPr>
            <w:r>
              <w:rPr>
                <w:rFonts w:cs="宋体" w:asciiTheme="minorEastAsia" w:hAnsiTheme="minorEastAsia" w:eastAsiaTheme="minorEastAsia"/>
                <w:szCs w:val="21"/>
              </w:rPr>
              <w:t>1.1</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500—1000</w:t>
            </w:r>
          </w:p>
        </w:tc>
        <w:tc>
          <w:tcPr>
            <w:tcW w:w="221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0.8</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szCs w:val="21"/>
              </w:rPr>
            </w:pPr>
            <w:r>
              <w:rPr>
                <w:rFonts w:hint="eastAsia" w:ascii="宋体" w:hAnsi="宋体" w:cs="宋体"/>
                <w:szCs w:val="21"/>
              </w:rPr>
              <w:t>……</w:t>
            </w:r>
          </w:p>
        </w:tc>
        <w:tc>
          <w:tcPr>
            <w:tcW w:w="2214"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szCs w:val="21"/>
              </w:rPr>
            </w:pPr>
            <w:r>
              <w:rPr>
                <w:rFonts w:hint="eastAsia" w:ascii="宋体" w:hAnsi="宋体" w:cs="宋体"/>
                <w:szCs w:val="21"/>
              </w:rPr>
              <w:t>……</w:t>
            </w:r>
          </w:p>
        </w:tc>
      </w:tr>
    </w:tbl>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 xml:space="preserve">.2代理机构服务收费按差额定率累进法计算。 </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jc w:val="left"/>
        <w:textAlignment w:val="auto"/>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.3服务费按照上述标准的收取并</w:t>
      </w:r>
      <w:r>
        <w:rPr>
          <w:rFonts w:ascii="宋体" w:hAnsi="宋体" w:cs="宋体"/>
          <w:b/>
          <w:szCs w:val="21"/>
        </w:rPr>
        <w:t>由成交供应商承担</w:t>
      </w:r>
      <w:r>
        <w:rPr>
          <w:rFonts w:hint="eastAsia" w:ascii="宋体" w:hAnsi="宋体" w:cs="宋体"/>
          <w:b/>
          <w:szCs w:val="21"/>
        </w:rPr>
        <w:t>，成交供应商应在领取成交通知书时将代理机构服务费付至常州市城投建设工程招标有限公司账户。</w:t>
      </w:r>
      <w:r>
        <w:rPr>
          <w:rFonts w:ascii="宋体" w:hAnsi="宋体" w:cs="宋体"/>
          <w:b/>
          <w:color w:val="FF0000"/>
          <w:szCs w:val="21"/>
        </w:rPr>
        <w:pict>
          <v:shape id="任意多边形 5" o:spid="_x0000_s1042" style="position:absolute;left:0pt;margin-left:161.85pt;margin-top:17.65pt;height:0.75pt;width:0pt;mso-position-horizontal-relative:page;z-index:-251631616;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p>
    <w:p>
      <w:pPr>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ascii="宋体" w:hAnsi="宋体" w:cs="宋体"/>
          <w:kern w:val="0"/>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.4服务收费按上述计算方法不足人民币3000元的，按人民币3000元收取。</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供应商应按成交通知书规定的时间、地点，按照竞争性谈判文件确定的事项与采购人签订采购合同，且不得迟于成交通知书发出之日起三十日内，否则谈判保证金将不予退还，由此给采购人造成损失的，成交供应商还应承担赔偿责任。</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.2竞争性谈判文件、成交供应商的谈判响应文件及谈判过程中有关澄清、承诺文件均应作为合同附件。</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合同履行中，采购人需追加与合同标的相同的货物和服务的，在不改变合同其他条款的前提下，可以与成交供应商协商签订补充合同，但所有补充合同的采购金额不超过原合同金额10%。</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sectPr>
          <w:headerReference r:id="rId5" w:type="first"/>
          <w:headerReference r:id="rId3" w:type="default"/>
          <w:footerReference r:id="rId6" w:type="default"/>
          <w:headerReference r:id="rId4" w:type="even"/>
          <w:footerReference r:id="rId7" w:type="even"/>
          <w:pgSz w:w="11907" w:h="16839"/>
          <w:pgMar w:top="1440" w:right="1803" w:bottom="1440" w:left="1803" w:header="851" w:footer="992" w:gutter="0"/>
          <w:cols w:space="0" w:num="1"/>
          <w:docGrid w:type="lines" w:linePitch="325" w:charSpace="0"/>
        </w:sect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5</w:t>
      </w:r>
      <w:r>
        <w:rPr>
          <w:rFonts w:hint="eastAsia" w:ascii="宋体" w:hAnsi="宋体" w:cs="宋体"/>
          <w:szCs w:val="21"/>
        </w:rPr>
        <w:t>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可以与排位在成交供应商之后第一位的成交候选人签订合同或重新委托进行招标。</w:t>
      </w:r>
      <w:bookmarkStart w:id="3" w:name="_Toc17536926"/>
    </w:p>
    <w:p>
      <w:pPr>
        <w:pStyle w:val="3"/>
        <w:rPr>
          <w:rFonts w:ascii="宋体" w:hAnsi="宋体" w:cs="宋体"/>
          <w:szCs w:val="21"/>
        </w:rPr>
      </w:pPr>
      <w:r>
        <w:rPr>
          <w:rFonts w:hint="eastAsia"/>
        </w:rPr>
        <w:t>第二章  采购项目及技术要求</w:t>
      </w:r>
      <w:bookmarkEnd w:id="3"/>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cstheme="minorEastAsia"/>
          <w:color w:val="FF0000"/>
          <w:spacing w:val="2"/>
          <w:szCs w:val="21"/>
        </w:rPr>
      </w:pPr>
      <w:r>
        <w:rPr>
          <w:rFonts w:hint="eastAsia" w:asciiTheme="minorEastAsia" w:hAnsiTheme="minorEastAsia" w:eastAsiaTheme="minorEastAsia" w:cstheme="minorEastAsia"/>
          <w:b/>
          <w:bCs/>
          <w:szCs w:val="21"/>
        </w:rPr>
        <w:t>一、</w:t>
      </w:r>
      <w:r>
        <w:rPr>
          <w:rFonts w:hint="eastAsia" w:asciiTheme="minorEastAsia" w:hAnsiTheme="minorEastAsia" w:eastAsiaTheme="minorEastAsia" w:cstheme="minorEastAsia"/>
          <w:b/>
          <w:spacing w:val="2"/>
          <w:szCs w:val="21"/>
        </w:rPr>
        <w:t>项目预算及最高限价：人民币19.97万元</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cstheme="minorEastAsia"/>
          <w:b/>
          <w:color w:val="000000" w:themeColor="text1"/>
          <w:szCs w:val="21"/>
        </w:rPr>
      </w:pPr>
      <w:r>
        <w:rPr>
          <w:rFonts w:hint="eastAsia" w:asciiTheme="minorEastAsia" w:hAnsiTheme="minorEastAsia" w:eastAsiaTheme="minorEastAsia" w:cstheme="minorEastAsia"/>
          <w:b/>
          <w:color w:val="000000" w:themeColor="text1"/>
          <w:szCs w:val="21"/>
        </w:rPr>
        <w:t>二、基本要求</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 xml:space="preserve">    1.产品必须是全新、未使用过的原装合格正品，完全符合竞争性谈判文件规定的质量、规格和性能的要求，达到国家或行业规定的标准，实行生产许可证制度的，应提供生产许可证；属于国家强制认证的产品，必须通过认证。</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2.供应商提供的产品必须能够满足规范及竞争性谈判文件的要求，同时还必须满足使用要求。产品及安装必须能通过采购人的质量验收、竣工验收等各类验收。</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cstheme="minorEastAsia"/>
          <w:b/>
          <w:color w:val="000000" w:themeColor="text1"/>
          <w:szCs w:val="21"/>
        </w:rPr>
      </w:pPr>
      <w:r>
        <w:rPr>
          <w:rFonts w:hint="eastAsia" w:asciiTheme="minorEastAsia" w:hAnsiTheme="minorEastAsia" w:eastAsiaTheme="minorEastAsia" w:cstheme="minorEastAsia"/>
          <w:b/>
          <w:color w:val="000000" w:themeColor="text1"/>
          <w:szCs w:val="21"/>
        </w:rPr>
        <w:t>3.特别强调：</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供应商成交后须与采购人在投标产品的“功能配置、技术要求等”方面及时交底沟通；成交供应商开始制造产品之前，采购人有权要求成交供应商对产品进行微调，最终的产品须经采购人签认同意后制造。</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三、采购清单及技术要求：</w:t>
      </w:r>
    </w:p>
    <w:tbl>
      <w:tblPr>
        <w:tblStyle w:val="22"/>
        <w:tblW w:w="8987"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316"/>
        <w:gridCol w:w="929"/>
        <w:gridCol w:w="723"/>
        <w:gridCol w:w="668"/>
        <w:gridCol w:w="3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2316"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图片</w:t>
            </w:r>
          </w:p>
        </w:tc>
        <w:tc>
          <w:tcPr>
            <w:tcW w:w="929"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名称</w:t>
            </w:r>
          </w:p>
        </w:tc>
        <w:tc>
          <w:tcPr>
            <w:tcW w:w="72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单位</w:t>
            </w:r>
          </w:p>
        </w:tc>
        <w:tc>
          <w:tcPr>
            <w:tcW w:w="66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数量</w:t>
            </w:r>
          </w:p>
        </w:tc>
        <w:tc>
          <w:tcPr>
            <w:tcW w:w="3681"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316"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drawing>
                <wp:anchor distT="0" distB="0" distL="114300" distR="114300" simplePos="0" relativeHeight="251685888" behindDoc="0" locked="0" layoutInCell="1" allowOverlap="1">
                  <wp:simplePos x="0" y="0"/>
                  <wp:positionH relativeFrom="column">
                    <wp:posOffset>0</wp:posOffset>
                  </wp:positionH>
                  <wp:positionV relativeFrom="paragraph">
                    <wp:posOffset>770255</wp:posOffset>
                  </wp:positionV>
                  <wp:extent cx="1333500" cy="1000125"/>
                  <wp:effectExtent l="0" t="0" r="0" b="9525"/>
                  <wp:wrapTopAndBottom/>
                  <wp:docPr id="8" name="图片 1" descr="e57c2795a509fdf0d0ee87fdf862a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e57c2795a509fdf0d0ee87fdf862a92"/>
                          <pic:cNvPicPr>
                            <a:picLocks noChangeAspect="1"/>
                          </pic:cNvPicPr>
                        </pic:nvPicPr>
                        <pic:blipFill>
                          <a:blip r:embed="rId12" cstate="print"/>
                          <a:stretch>
                            <a:fillRect/>
                          </a:stretch>
                        </pic:blipFill>
                        <pic:spPr>
                          <a:xfrm>
                            <a:off x="0" y="0"/>
                            <a:ext cx="1333500" cy="1000229"/>
                          </a:xfrm>
                          <a:prstGeom prst="rect">
                            <a:avLst/>
                          </a:prstGeom>
                        </pic:spPr>
                      </pic:pic>
                    </a:graphicData>
                  </a:graphic>
                </wp:anchor>
              </w:drawing>
            </w:r>
          </w:p>
        </w:tc>
        <w:tc>
          <w:tcPr>
            <w:tcW w:w="929"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办公桌</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（带侧柜）</w:t>
            </w:r>
          </w:p>
        </w:tc>
        <w:tc>
          <w:tcPr>
            <w:tcW w:w="72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套</w:t>
            </w:r>
          </w:p>
        </w:tc>
        <w:tc>
          <w:tcPr>
            <w:tcW w:w="66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p>
        </w:tc>
        <w:tc>
          <w:tcPr>
            <w:tcW w:w="3681" w:type="dxa"/>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规格：长1500㎜(±5㎜)*宽700㎜(±5㎜)*高750㎜(±5㎜)</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办公桌材料采用E1级饰面刨花板，硬度强不变形、不褪色。甲醛释放量</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符合国家环保标准小于(1.5mg/L)，优质五金件，1.5MM</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厚pvc封边条，永不脱落。含活动柜、键盘托、活动主</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机托、侧柜800㎜(±5㎜)*400㎜(±5㎜)*700㎜(±5㎜)，桌面、两侧板、活动柜面、</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侧柜面厚度为25mm板材，其余为厚度16mm板材。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316"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drawing>
                <wp:anchor distT="0" distB="0" distL="114300" distR="114300" simplePos="0" relativeHeight="251686912" behindDoc="0" locked="0" layoutInCell="1" allowOverlap="1">
                  <wp:simplePos x="0" y="0"/>
                  <wp:positionH relativeFrom="column">
                    <wp:posOffset>48895</wp:posOffset>
                  </wp:positionH>
                  <wp:positionV relativeFrom="paragraph">
                    <wp:posOffset>534670</wp:posOffset>
                  </wp:positionV>
                  <wp:extent cx="1216660" cy="933450"/>
                  <wp:effectExtent l="0" t="0" r="2540" b="0"/>
                  <wp:wrapTopAndBottom/>
                  <wp:docPr id="9" name="图片 2" descr="jnyan1022-12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jnyan1022-121406"/>
                          <pic:cNvPicPr>
                            <a:picLocks noChangeAspect="1"/>
                          </pic:cNvPicPr>
                        </pic:nvPicPr>
                        <pic:blipFill>
                          <a:blip r:embed="rId10" cstate="print"/>
                          <a:stretch>
                            <a:fillRect/>
                          </a:stretch>
                        </pic:blipFill>
                        <pic:spPr>
                          <a:xfrm>
                            <a:off x="0" y="0"/>
                            <a:ext cx="1223141" cy="938152"/>
                          </a:xfrm>
                          <a:prstGeom prst="rect">
                            <a:avLst/>
                          </a:prstGeom>
                        </pic:spPr>
                      </pic:pic>
                    </a:graphicData>
                  </a:graphic>
                </wp:anchor>
              </w:drawing>
            </w:r>
          </w:p>
        </w:tc>
        <w:tc>
          <w:tcPr>
            <w:tcW w:w="929"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讲台</w:t>
            </w:r>
          </w:p>
        </w:tc>
        <w:tc>
          <w:tcPr>
            <w:tcW w:w="72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张</w:t>
            </w:r>
          </w:p>
        </w:tc>
        <w:tc>
          <w:tcPr>
            <w:tcW w:w="66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30</w:t>
            </w:r>
          </w:p>
        </w:tc>
        <w:tc>
          <w:tcPr>
            <w:tcW w:w="3681" w:type="dxa"/>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规格：长1400㎜(±5㎜)*宽600㎜(±5㎜)*高850㎜(±5㎜)</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讲台材料采用E1级饰面刨花板，硬度强不变形、不褪色。甲醛释放量</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符合国家环保标准小于(1.5mg/L)，优质五金件，1.5MM</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厚pvc封边条，永不脱落。桌面厚度为25mm板材，其余为厚度18mm板材。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2316"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drawing>
                <wp:anchor distT="0" distB="0" distL="0" distR="0" simplePos="0" relativeHeight="251687936" behindDoc="0" locked="0" layoutInCell="1" allowOverlap="1">
                  <wp:simplePos x="0" y="0"/>
                  <wp:positionH relativeFrom="column">
                    <wp:posOffset>134620</wp:posOffset>
                  </wp:positionH>
                  <wp:positionV relativeFrom="paragraph">
                    <wp:posOffset>1052195</wp:posOffset>
                  </wp:positionV>
                  <wp:extent cx="1019175" cy="1085215"/>
                  <wp:effectExtent l="0" t="0" r="9525" b="635"/>
                  <wp:wrapTopAndBottom/>
                  <wp:docPr id="10" name="图片 1" descr="C:\Users\ADMINI~1\AppData\Local\Temp\WeChat Files\c4088f633f5dcd29d99959d6b8810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C:\Users\ADMINI~1\AppData\Local\Temp\WeChat Files\c4088f633f5dcd29d99959d6b88104e.jpg"/>
                          <pic:cNvPicPr>
                            <a:picLocks noChangeAspect="1" noChangeArrowheads="1"/>
                          </pic:cNvPicPr>
                        </pic:nvPicPr>
                        <pic:blipFill>
                          <a:blip r:embed="rId13" cstate="print"/>
                          <a:srcRect l="23296" t="30488" r="26860" b="29675"/>
                          <a:stretch>
                            <a:fillRect/>
                          </a:stretch>
                        </pic:blipFill>
                        <pic:spPr>
                          <a:xfrm>
                            <a:off x="0" y="0"/>
                            <a:ext cx="1019175" cy="1085215"/>
                          </a:xfrm>
                          <a:prstGeom prst="rect">
                            <a:avLst/>
                          </a:prstGeom>
                          <a:noFill/>
                          <a:ln w="9525">
                            <a:noFill/>
                            <a:miter lim="800000"/>
                            <a:headEnd/>
                            <a:tailEnd/>
                          </a:ln>
                        </pic:spPr>
                      </pic:pic>
                    </a:graphicData>
                  </a:graphic>
                </wp:anchor>
              </w:drawing>
            </w:r>
          </w:p>
        </w:tc>
        <w:tc>
          <w:tcPr>
            <w:tcW w:w="929"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课桌椅</w:t>
            </w:r>
          </w:p>
        </w:tc>
        <w:tc>
          <w:tcPr>
            <w:tcW w:w="72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套</w:t>
            </w:r>
          </w:p>
        </w:tc>
        <w:tc>
          <w:tcPr>
            <w:tcW w:w="66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580</w:t>
            </w:r>
          </w:p>
        </w:tc>
        <w:tc>
          <w:tcPr>
            <w:tcW w:w="3681" w:type="dxa"/>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桌长600㎜(±5㎜)×宽400㎜(±5㎜)×高760㎜(±5㎜)，桌面板采用AB面橡木实木板，板厚18㎜，桌底板四周围板全部采用AA面橡木实木板，板厚10㎜，桌脚及横直档全部采用栲木制作，桌脚规格45㎜×33㎜，桌横直档规格33㎜×30㎜，桌抽斗内空140㎜。</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凳长350㎜(±5㎜)×宽250㎜(±5㎜)×高430㎜(±5㎜)，凳面板采用AB面橡木实木板，板厚18㎜，凳横直档全部采用栲木制作，凳脚规格43㎜×33㎜，凳横直档规格33㎜×30㎜，油漆采用优质环保聚胺脂油漆，工艺要求做到二底三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2316"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drawing>
                <wp:anchor distT="0" distB="0" distL="0" distR="0" simplePos="0" relativeHeight="251688960" behindDoc="0" locked="0" layoutInCell="1" allowOverlap="1">
                  <wp:simplePos x="0" y="0"/>
                  <wp:positionH relativeFrom="column">
                    <wp:posOffset>248920</wp:posOffset>
                  </wp:positionH>
                  <wp:positionV relativeFrom="paragraph">
                    <wp:posOffset>848360</wp:posOffset>
                  </wp:positionV>
                  <wp:extent cx="790575" cy="1066800"/>
                  <wp:effectExtent l="0" t="0" r="9525" b="0"/>
                  <wp:wrapTopAndBottom/>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noChangeArrowheads="1"/>
                          </pic:cNvPicPr>
                        </pic:nvPicPr>
                        <pic:blipFill>
                          <a:blip r:embed="rId11" cstate="print"/>
                          <a:srcRect l="12775" t="42516" r="43045" b="17166"/>
                          <a:stretch>
                            <a:fillRect/>
                          </a:stretch>
                        </pic:blipFill>
                        <pic:spPr>
                          <a:xfrm>
                            <a:off x="0" y="0"/>
                            <a:ext cx="790575" cy="1066800"/>
                          </a:xfrm>
                          <a:prstGeom prst="rect">
                            <a:avLst/>
                          </a:prstGeom>
                          <a:noFill/>
                          <a:ln w="9525">
                            <a:noFill/>
                            <a:miter lim="800000"/>
                            <a:headEnd/>
                            <a:tailEnd/>
                          </a:ln>
                        </pic:spPr>
                      </pic:pic>
                    </a:graphicData>
                  </a:graphic>
                </wp:anchor>
              </w:drawing>
            </w:r>
          </w:p>
        </w:tc>
        <w:tc>
          <w:tcPr>
            <w:tcW w:w="929"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专用教室圆凳</w:t>
            </w:r>
          </w:p>
        </w:tc>
        <w:tc>
          <w:tcPr>
            <w:tcW w:w="72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张</w:t>
            </w:r>
          </w:p>
        </w:tc>
        <w:tc>
          <w:tcPr>
            <w:tcW w:w="66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60</w:t>
            </w:r>
          </w:p>
        </w:tc>
        <w:tc>
          <w:tcPr>
            <w:tcW w:w="3681" w:type="dxa"/>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szCs w:val="21"/>
              </w:rPr>
              <w:t>规格尺寸：圆凳高430 mm（±5mm），凳面板采用橙色中空吹塑，一次成型，圆凳面，规格为直径368mm（±3mm）×厚50 mm（±3mm），凳面连接翼采用160 mm×160 mm×壁厚1.8 mm钢板托盘制作，凳竖脚采用直径50mm×壁厚1.6 mm圆钢管，连接件采用螺丝固定。工艺流程：铁件部位要求做到焊接饱满、无漏焊，无夹焊、无气泡，焊口经磨平处理，磷化、酸洗、清洗、静电喷塑、高温固化。</w:t>
            </w:r>
          </w:p>
        </w:tc>
      </w:tr>
    </w:tbl>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宋体" w:hAnsi="宋体" w:cs="宋体"/>
          <w:b/>
          <w:szCs w:val="21"/>
        </w:rPr>
      </w:pPr>
      <w:r>
        <w:rPr>
          <w:rFonts w:hint="eastAsia" w:ascii="宋体" w:hAnsi="宋体" w:cs="宋体"/>
          <w:b/>
          <w:szCs w:val="21"/>
        </w:rPr>
        <w:t>四</w:t>
      </w:r>
      <w:r>
        <w:rPr>
          <w:rFonts w:ascii="宋体" w:hAnsi="宋体" w:cs="宋体"/>
          <w:b/>
          <w:szCs w:val="21"/>
        </w:rPr>
        <w:t>、报价</w:t>
      </w:r>
      <w:r>
        <w:rPr>
          <w:rFonts w:hint="eastAsia" w:ascii="宋体" w:hAnsi="宋体" w:cs="宋体"/>
          <w:b/>
          <w:szCs w:val="21"/>
        </w:rPr>
        <w:t>方式</w:t>
      </w:r>
    </w:p>
    <w:p>
      <w:pPr>
        <w:keepNext w:val="0"/>
        <w:keepLines w:val="0"/>
        <w:pageBreakBefore w:val="0"/>
        <w:widowControl w:val="0"/>
        <w:tabs>
          <w:tab w:val="left" w:pos="284"/>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本项目谈判报价</w:t>
      </w:r>
      <w:r>
        <w:rPr>
          <w:rFonts w:hint="eastAsia" w:ascii="宋体" w:hAnsi="宋体" w:cs="宋体"/>
          <w:szCs w:val="21"/>
        </w:rPr>
        <w:t>为</w:t>
      </w:r>
      <w:r>
        <w:rPr>
          <w:rFonts w:ascii="宋体" w:hAnsi="宋体" w:cs="宋体"/>
          <w:b/>
          <w:bCs/>
          <w:szCs w:val="21"/>
          <w:u w:val="single"/>
        </w:rPr>
        <w:t>固定总价</w:t>
      </w:r>
      <w:r>
        <w:rPr>
          <w:rFonts w:hint="eastAsia" w:ascii="宋体" w:hAnsi="宋体" w:cs="宋体"/>
          <w:szCs w:val="21"/>
        </w:rPr>
        <w:t>，谈判总</w:t>
      </w:r>
      <w:r>
        <w:rPr>
          <w:rFonts w:hint="eastAsia" w:ascii="宋体" w:hAnsi="宋体" w:cs="宋体"/>
          <w:color w:val="000000"/>
          <w:szCs w:val="21"/>
        </w:rPr>
        <w:t>价应包括竞争性谈判文件所确定的采购范围相应货物和</w:t>
      </w:r>
      <w:r>
        <w:rPr>
          <w:rFonts w:ascii="宋体" w:hAnsi="宋体" w:cs="宋体"/>
          <w:color w:val="000000"/>
          <w:szCs w:val="21"/>
        </w:rPr>
        <w:t>服务</w:t>
      </w:r>
      <w:r>
        <w:rPr>
          <w:rFonts w:hint="eastAsia" w:ascii="宋体" w:hAnsi="宋体" w:cs="宋体"/>
          <w:color w:val="000000"/>
          <w:szCs w:val="21"/>
        </w:rPr>
        <w:t>的供货、包装、运输、保险、安装调试、管理、维护</w:t>
      </w:r>
      <w:r>
        <w:rPr>
          <w:rFonts w:ascii="宋体" w:hAnsi="宋体" w:cs="宋体"/>
          <w:color w:val="000000"/>
          <w:szCs w:val="21"/>
        </w:rPr>
        <w:t>、</w:t>
      </w:r>
      <w:r>
        <w:rPr>
          <w:rFonts w:hint="eastAsia" w:ascii="宋体" w:hAnsi="宋体" w:cs="宋体"/>
          <w:color w:val="000000"/>
          <w:szCs w:val="21"/>
        </w:rPr>
        <w:t>劳务、培训、验收</w:t>
      </w:r>
      <w:r>
        <w:rPr>
          <w:rFonts w:ascii="宋体" w:hAnsi="宋体" w:cs="宋体"/>
          <w:color w:val="000000"/>
          <w:szCs w:val="21"/>
        </w:rPr>
        <w:t>、</w:t>
      </w:r>
      <w:r>
        <w:rPr>
          <w:rFonts w:hint="eastAsia" w:ascii="宋体" w:hAnsi="宋体" w:cs="宋体"/>
          <w:color w:val="000000"/>
          <w:szCs w:val="21"/>
        </w:rPr>
        <w:t>办公设备、设备、工具、耗材、运送工具及耗材、利润、风险、税金及政策性文件规定等各项应有费用，以及为完成该项货物或者服务项目所涉及到的一切相关费用，采购人不再支付其他任何费用。</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FF0000"/>
          <w:szCs w:val="21"/>
        </w:rPr>
      </w:pPr>
      <w:r>
        <w:rPr>
          <w:rFonts w:hint="eastAsia" w:ascii="宋体" w:hAnsi="宋体" w:cs="宋体"/>
          <w:color w:val="000000"/>
          <w:szCs w:val="21"/>
        </w:rPr>
        <w:t>报价货币为人民币，评审时以人民币为准。</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五、交货期及交货地点：合同签定之日起20日内完成交货及验收。</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六、验收标准</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0" w:firstLineChars="200"/>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产品到达交货地点后，采购人和成交供应商在2日内共同检验产品数量、质量等状况，由成交供应商负责并承担相关费用，采购人应积极配合。成交供应商进行安装调试并经过性能测试后，由采购人组织联合验收小组验收。验收合格后，双方在《验收报告》上签字确认。</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0" w:firstLineChars="200"/>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2.对产品的外观或质量问题，采购人应在发现和应当发现之日起30日内向成交供应商提出书面异议，成交供应商在接到书面异议后，应当在2日内负责处理。采购人逾期提出的，对所交产品视为符合合同的规定。</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0" w:firstLineChars="200"/>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3.经双方共同验收，产品性能参数达不到招标合同要求的，采购人可以拒收，并可以解除合同。</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七、质保期及售后服务</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0" w:firstLineChars="200"/>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1、本次家具项目要求免费质保期不应低于5年，供应商也可高于此期限投标，免费质保期从验收合格之日起算。</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0" w:firstLineChars="200"/>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2、所供产品要求实行终身维保；供应商应提供产品最低使用年限承诺，在此期间内，不应发生非人为原因的重大故障，否则采购人有权追溯供应商的责任。</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0" w:firstLineChars="200"/>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在保修期内，一旦发生质量问题，供应商必须在2小时内到达常州，4小时内到达现场实施维修并及时排除故障，否则，采购人有权自行派人进行修复，发生的费用在质量保修金内按实扣除，另扣双倍费用作为违约赔偿。</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0" w:firstLineChars="200"/>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4、在质保期内，因采购人使用不当原因出现故障时，供应商在接到采购人通知后，应在上述的时限内赶到采购人现场，帮助排除故障、修复或更换零部件，需更换零部件时，酌情收取成本费。</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0" w:firstLineChars="200"/>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5、在质保期满后，产品出现故障时，供应商仍需做好售后服务，并在上述时限内赶到现场，及时处理解决。</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0" w:firstLineChars="200"/>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6、供应商在响应文件中应提供本项目的“售后服务的工作计划书”。</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szCs w:val="21"/>
        </w:rPr>
        <w:t>八、付款方式</w:t>
      </w:r>
      <w:r>
        <w:rPr>
          <w:rFonts w:hint="eastAsia" w:asciiTheme="minorEastAsia" w:hAnsiTheme="minorEastAsia" w:eastAsiaTheme="minorEastAsia" w:cstheme="minorEastAsia"/>
          <w:b/>
          <w:szCs w:val="21"/>
          <w:lang w:eastAsia="zh-CN"/>
        </w:rPr>
        <w:t>：</w:t>
      </w:r>
      <w:r>
        <w:rPr>
          <w:rFonts w:hint="eastAsia" w:asciiTheme="minorEastAsia" w:hAnsiTheme="minorEastAsia" w:eastAsiaTheme="minorEastAsia" w:cstheme="minorEastAsia"/>
          <w:b/>
          <w:bCs/>
        </w:rPr>
        <w:t>合同签订当年年底支付合同金额的70%，第二年年底支付合同金额的30%。</w:t>
      </w:r>
    </w:p>
    <w:p>
      <w:pPr>
        <w:spacing w:line="380" w:lineRule="exact"/>
        <w:ind w:right="210"/>
        <w:jc w:val="left"/>
        <w:rPr>
          <w:rFonts w:ascii="宋体" w:hAnsi="宋体" w:cs="宋体"/>
          <w:szCs w:val="21"/>
        </w:rPr>
      </w:pPr>
    </w:p>
    <w:p>
      <w:pPr>
        <w:jc w:val="center"/>
        <w:rPr>
          <w:rFonts w:ascii="宋体" w:hAnsi="宋体" w:cs="宋体"/>
          <w:b/>
          <w:sz w:val="30"/>
          <w:szCs w:val="30"/>
        </w:rPr>
      </w:pPr>
      <w:r>
        <w:rPr>
          <w:rFonts w:ascii="宋体" w:hAnsi="宋体" w:cs="宋体"/>
          <w:b/>
          <w:sz w:val="30"/>
          <w:szCs w:val="30"/>
        </w:rPr>
        <w:br w:type="page"/>
      </w:r>
    </w:p>
    <w:p>
      <w:pPr>
        <w:pStyle w:val="3"/>
      </w:pPr>
      <w:bookmarkStart w:id="4" w:name="_Toc17536927"/>
      <w:r>
        <w:rPr>
          <w:rFonts w:hint="eastAsia"/>
        </w:rPr>
        <w:t>第三章  合同主要条款</w:t>
      </w:r>
      <w:bookmarkEnd w:id="4"/>
    </w:p>
    <w:p>
      <w:pPr>
        <w:pStyle w:val="11"/>
        <w:keepNext w:val="0"/>
        <w:keepLines w:val="0"/>
        <w:pageBreakBefore w:val="0"/>
        <w:widowControl w:val="0"/>
        <w:kinsoku/>
        <w:wordWrap/>
        <w:overflowPunct/>
        <w:topLinePunct w:val="0"/>
        <w:bidi w:val="0"/>
        <w:adjustRightInd w:val="0"/>
        <w:snapToGrid/>
        <w:spacing w:line="400" w:lineRule="exact"/>
        <w:textAlignment w:val="auto"/>
        <w:rPr>
          <w:rFonts w:eastAsia="宋体" w:cs="宋体"/>
          <w:color w:val="000000"/>
          <w:sz w:val="21"/>
          <w:szCs w:val="21"/>
        </w:rPr>
      </w:pPr>
      <w:r>
        <w:rPr>
          <w:rFonts w:hint="eastAsia" w:eastAsia="宋体" w:cs="宋体"/>
          <w:b/>
          <w:color w:val="000000"/>
          <w:sz w:val="21"/>
          <w:szCs w:val="21"/>
          <w:lang w:val="zh-CN"/>
        </w:rPr>
        <w:t>采购人</w:t>
      </w:r>
      <w:r>
        <w:rPr>
          <w:rFonts w:eastAsia="宋体" w:cs="宋体"/>
          <w:b/>
          <w:color w:val="000000"/>
          <w:sz w:val="21"/>
          <w:szCs w:val="21"/>
          <w:lang w:val="zh-CN"/>
        </w:rPr>
        <w:t>（</w:t>
      </w:r>
      <w:r>
        <w:rPr>
          <w:rFonts w:hint="eastAsia" w:eastAsia="宋体" w:cs="宋体"/>
          <w:b/>
          <w:color w:val="000000"/>
          <w:sz w:val="21"/>
          <w:szCs w:val="21"/>
          <w:lang w:val="zh-CN"/>
        </w:rPr>
        <w:t>以下</w:t>
      </w:r>
      <w:r>
        <w:rPr>
          <w:rFonts w:eastAsia="宋体" w:cs="宋体"/>
          <w:b/>
          <w:color w:val="000000"/>
          <w:sz w:val="21"/>
          <w:szCs w:val="21"/>
          <w:lang w:val="zh-CN"/>
        </w:rPr>
        <w:t>称</w:t>
      </w:r>
      <w:r>
        <w:rPr>
          <w:rFonts w:hint="eastAsia" w:eastAsia="宋体" w:cs="宋体"/>
          <w:b/>
          <w:color w:val="000000"/>
          <w:sz w:val="21"/>
          <w:szCs w:val="21"/>
          <w:lang w:val="zh-CN"/>
        </w:rPr>
        <w:t>甲</w:t>
      </w:r>
      <w:r>
        <w:rPr>
          <w:rFonts w:hint="eastAsia" w:eastAsia="宋体" w:cs="宋体"/>
          <w:b/>
          <w:color w:val="000000"/>
          <w:sz w:val="21"/>
          <w:szCs w:val="21"/>
        </w:rPr>
        <w:t xml:space="preserve">方）: </w:t>
      </w:r>
      <w:r>
        <w:rPr>
          <w:rFonts w:eastAsia="宋体" w:cs="宋体"/>
          <w:b/>
          <w:color w:val="000000"/>
          <w:sz w:val="21"/>
          <w:szCs w:val="21"/>
        </w:rPr>
        <w:t xml:space="preserve">                      </w:t>
      </w:r>
      <w:r>
        <w:rPr>
          <w:rFonts w:hint="eastAsia" w:cs="宋体"/>
          <w:color w:val="000000"/>
          <w:sz w:val="21"/>
          <w:szCs w:val="21"/>
        </w:rPr>
        <w:t>合同编号：</w:t>
      </w:r>
    </w:p>
    <w:p>
      <w:pPr>
        <w:pStyle w:val="11"/>
        <w:keepNext w:val="0"/>
        <w:keepLines w:val="0"/>
        <w:pageBreakBefore w:val="0"/>
        <w:widowControl w:val="0"/>
        <w:kinsoku/>
        <w:wordWrap/>
        <w:overflowPunct/>
        <w:topLinePunct w:val="0"/>
        <w:bidi w:val="0"/>
        <w:adjustRightInd w:val="0"/>
        <w:snapToGrid/>
        <w:spacing w:line="400" w:lineRule="exact"/>
        <w:textAlignment w:val="auto"/>
        <w:rPr>
          <w:rFonts w:eastAsia="宋体" w:cs="宋体"/>
          <w:color w:val="000000"/>
          <w:sz w:val="21"/>
          <w:szCs w:val="21"/>
          <w:u w:val="single"/>
        </w:rPr>
      </w:pPr>
      <w:r>
        <w:rPr>
          <w:rFonts w:hint="eastAsia" w:eastAsia="宋体" w:cs="宋体"/>
          <w:b/>
          <w:color w:val="000000"/>
          <w:sz w:val="21"/>
          <w:szCs w:val="21"/>
        </w:rPr>
        <w:t>供应商</w:t>
      </w:r>
      <w:r>
        <w:rPr>
          <w:rFonts w:eastAsia="宋体" w:cs="宋体"/>
          <w:b/>
          <w:color w:val="000000"/>
          <w:sz w:val="21"/>
          <w:szCs w:val="21"/>
        </w:rPr>
        <w:t>（</w:t>
      </w:r>
      <w:r>
        <w:rPr>
          <w:rFonts w:hint="eastAsia" w:eastAsia="宋体" w:cs="宋体"/>
          <w:b/>
          <w:color w:val="000000"/>
          <w:sz w:val="21"/>
          <w:szCs w:val="21"/>
          <w:lang w:val="zh-CN"/>
        </w:rPr>
        <w:t>以下</w:t>
      </w:r>
      <w:r>
        <w:rPr>
          <w:rFonts w:eastAsia="宋体" w:cs="宋体"/>
          <w:b/>
          <w:color w:val="000000"/>
          <w:sz w:val="21"/>
          <w:szCs w:val="21"/>
          <w:lang w:val="zh-CN"/>
        </w:rPr>
        <w:t>称</w:t>
      </w:r>
      <w:r>
        <w:rPr>
          <w:rFonts w:hint="eastAsia" w:eastAsia="宋体" w:cs="宋体"/>
          <w:b/>
          <w:color w:val="000000"/>
          <w:sz w:val="21"/>
          <w:szCs w:val="21"/>
        </w:rPr>
        <w:t>乙方</w:t>
      </w:r>
      <w:r>
        <w:rPr>
          <w:rFonts w:eastAsia="宋体" w:cs="宋体"/>
          <w:b/>
          <w:color w:val="000000"/>
          <w:sz w:val="21"/>
          <w:szCs w:val="21"/>
        </w:rPr>
        <w:t>）</w:t>
      </w:r>
      <w:r>
        <w:rPr>
          <w:rFonts w:hint="eastAsia" w:eastAsia="宋体" w:cs="宋体"/>
          <w:b/>
          <w:color w:val="000000"/>
          <w:sz w:val="21"/>
          <w:szCs w:val="21"/>
        </w:rPr>
        <w:t xml:space="preserve">: </w:t>
      </w:r>
      <w:r>
        <w:rPr>
          <w:rFonts w:eastAsia="宋体" w:cs="宋体"/>
          <w:b/>
          <w:color w:val="000000"/>
          <w:sz w:val="21"/>
          <w:szCs w:val="21"/>
        </w:rPr>
        <w:t xml:space="preserve">                      </w:t>
      </w:r>
      <w:r>
        <w:rPr>
          <w:rFonts w:hint="eastAsia" w:eastAsia="宋体" w:cs="宋体"/>
          <w:color w:val="000000"/>
          <w:sz w:val="21"/>
          <w:szCs w:val="21"/>
        </w:rPr>
        <w:t>签订地点：</w:t>
      </w:r>
    </w:p>
    <w:p>
      <w:pPr>
        <w:pStyle w:val="6"/>
        <w:keepNext w:val="0"/>
        <w:keepLines w:val="0"/>
        <w:pageBreakBefore w:val="0"/>
        <w:widowControl w:val="0"/>
        <w:kinsoku/>
        <w:wordWrap/>
        <w:overflowPunct/>
        <w:topLinePunct w:val="0"/>
        <w:bidi w:val="0"/>
        <w:adjustRightInd w:val="0"/>
        <w:snapToGrid/>
        <w:spacing w:line="400" w:lineRule="exact"/>
        <w:ind w:firstLine="4617" w:firstLineChars="2199"/>
        <w:textAlignment w:val="auto"/>
        <w:rPr>
          <w:rFonts w:hAnsi="宋体" w:cs="宋体"/>
          <w:b/>
          <w:color w:val="000000"/>
          <w:sz w:val="21"/>
          <w:szCs w:val="21"/>
        </w:rPr>
      </w:pPr>
      <w:r>
        <w:rPr>
          <w:rFonts w:hint="eastAsia" w:cs="宋体"/>
          <w:color w:val="000000"/>
          <w:sz w:val="21"/>
          <w:szCs w:val="21"/>
        </w:rPr>
        <w:t xml:space="preserve">合同时间: </w:t>
      </w:r>
      <w:r>
        <w:rPr>
          <w:rFonts w:hint="eastAsia" w:cs="宋体"/>
          <w:color w:val="000000"/>
          <w:sz w:val="21"/>
          <w:szCs w:val="21"/>
          <w:u w:val="single"/>
        </w:rPr>
        <w:t xml:space="preserve">    年   月   日</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cs="宋体" w:asciiTheme="minorEastAsia" w:hAnsiTheme="minorEastAsia"/>
          <w:color w:val="000000"/>
          <w:sz w:val="21"/>
          <w:szCs w:val="21"/>
        </w:rPr>
      </w:pPr>
      <w:r>
        <w:rPr>
          <w:rFonts w:hint="eastAsia" w:cs="宋体" w:asciiTheme="minorEastAsia" w:hAnsiTheme="minorEastAsia"/>
          <w:color w:val="000000"/>
          <w:sz w:val="21"/>
          <w:szCs w:val="21"/>
        </w:rPr>
        <w:t>甲乙双方依据《中华人民共和国合同法》以及有关法律、法规的规定，经协商一致，订立本合同，以便共同遵守。</w:t>
      </w:r>
    </w:p>
    <w:p>
      <w:pPr>
        <w:pStyle w:val="11"/>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cs="宋体" w:asciiTheme="minorEastAsia" w:hAnsiTheme="minorEastAsia"/>
          <w:b/>
          <w:color w:val="000000"/>
          <w:sz w:val="21"/>
          <w:szCs w:val="21"/>
        </w:rPr>
      </w:pPr>
      <w:r>
        <w:rPr>
          <w:rFonts w:hint="eastAsia" w:cs="宋体" w:asciiTheme="minorEastAsia" w:hAnsiTheme="minorEastAsia"/>
          <w:b/>
          <w:color w:val="000000"/>
          <w:sz w:val="21"/>
          <w:szCs w:val="21"/>
        </w:rPr>
        <w:t>第一条 合同标的</w:t>
      </w:r>
    </w:p>
    <w:p>
      <w:pPr>
        <w:keepNext w:val="0"/>
        <w:keepLines w:val="0"/>
        <w:pageBreakBefore w:val="0"/>
        <w:widowControl/>
        <w:kinsoku/>
        <w:wordWrap/>
        <w:overflowPunct/>
        <w:topLinePunct w:val="0"/>
        <w:autoSpaceDE/>
        <w:autoSpaceDN/>
        <w:bidi w:val="0"/>
        <w:adjustRightInd w:val="0"/>
        <w:snapToGrid w:val="0"/>
        <w:spacing w:line="360" w:lineRule="exact"/>
        <w:ind w:firstLine="424" w:firstLineChars="202"/>
        <w:jc w:val="left"/>
        <w:textAlignment w:val="auto"/>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乙方根据甲方需求提供下列产品：         ，产品名称、规格及数量详见乙方谈判响应文件。</w:t>
      </w:r>
    </w:p>
    <w:p>
      <w:pPr>
        <w:pStyle w:val="11"/>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cs="宋体" w:asciiTheme="minorEastAsia" w:hAnsiTheme="minorEastAsia"/>
          <w:b/>
          <w:color w:val="000000"/>
          <w:sz w:val="21"/>
          <w:szCs w:val="21"/>
        </w:rPr>
      </w:pPr>
      <w:r>
        <w:rPr>
          <w:rFonts w:hint="eastAsia" w:cs="宋体" w:asciiTheme="minorEastAsia" w:hAnsiTheme="minorEastAsia"/>
          <w:b/>
          <w:color w:val="000000"/>
          <w:sz w:val="21"/>
          <w:szCs w:val="21"/>
        </w:rPr>
        <w:t>第二条 合同价格</w:t>
      </w:r>
    </w:p>
    <w:p>
      <w:pPr>
        <w:pStyle w:val="11"/>
        <w:keepNext w:val="0"/>
        <w:keepLines w:val="0"/>
        <w:pageBreakBefore w:val="0"/>
        <w:kinsoku/>
        <w:wordWrap/>
        <w:overflowPunct/>
        <w:topLinePunct w:val="0"/>
        <w:autoSpaceDE/>
        <w:autoSpaceDN/>
        <w:bidi w:val="0"/>
        <w:adjustRightInd w:val="0"/>
        <w:snapToGrid w:val="0"/>
        <w:spacing w:line="360" w:lineRule="exact"/>
        <w:ind w:firstLine="426" w:firstLineChars="202"/>
        <w:jc w:val="left"/>
        <w:textAlignment w:val="auto"/>
        <w:rPr>
          <w:rFonts w:cs="宋体" w:asciiTheme="minorEastAsia" w:hAnsiTheme="minorEastAsia"/>
          <w:b/>
          <w:sz w:val="21"/>
          <w:szCs w:val="21"/>
        </w:rPr>
      </w:pPr>
      <w:r>
        <w:rPr>
          <w:rFonts w:hint="eastAsia" w:cs="宋体" w:asciiTheme="minorEastAsia" w:hAnsiTheme="minorEastAsia"/>
          <w:b/>
          <w:sz w:val="21"/>
          <w:szCs w:val="21"/>
        </w:rPr>
        <w:t>签约合同总价（人民币，下同）：</w:t>
      </w:r>
      <w:r>
        <w:rPr>
          <w:rFonts w:hint="eastAsia" w:cs="宋体" w:asciiTheme="minorEastAsia" w:hAnsiTheme="minorEastAsia"/>
          <w:b/>
          <w:sz w:val="21"/>
          <w:szCs w:val="21"/>
          <w:u w:val="single"/>
        </w:rPr>
        <w:t xml:space="preserve">             元</w:t>
      </w:r>
      <w:r>
        <w:rPr>
          <w:rFonts w:hint="eastAsia" w:cs="宋体" w:asciiTheme="minorEastAsia" w:hAnsiTheme="minorEastAsia"/>
          <w:b/>
          <w:sz w:val="21"/>
          <w:szCs w:val="21"/>
        </w:rPr>
        <w:t xml:space="preserve">（小写       ）。 </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cs="宋体" w:asciiTheme="minorEastAsia" w:hAnsiTheme="minorEastAsia"/>
          <w:sz w:val="21"/>
          <w:szCs w:val="21"/>
        </w:rPr>
      </w:pPr>
      <w:r>
        <w:rPr>
          <w:rFonts w:hint="eastAsia" w:cs="宋体" w:asciiTheme="minorEastAsia" w:hAnsiTheme="minorEastAsia"/>
          <w:sz w:val="21"/>
          <w:szCs w:val="21"/>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供应商认为需要的其他费用等。</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cs="宋体" w:asciiTheme="minorEastAsia" w:hAnsiTheme="minorEastAsia"/>
          <w:color w:val="000000"/>
          <w:sz w:val="21"/>
          <w:szCs w:val="21"/>
        </w:rPr>
      </w:pPr>
      <w:r>
        <w:rPr>
          <w:rFonts w:hint="eastAsia" w:cs="宋体" w:asciiTheme="minorEastAsia" w:hAnsiTheme="minorEastAsia"/>
          <w:sz w:val="21"/>
          <w:szCs w:val="21"/>
        </w:rPr>
        <w:t>本合同总价款还包含乙方应</w:t>
      </w:r>
      <w:r>
        <w:rPr>
          <w:rFonts w:hint="eastAsia" w:cs="宋体" w:asciiTheme="minorEastAsia" w:hAnsiTheme="minorEastAsia"/>
          <w:color w:val="000000"/>
          <w:sz w:val="21"/>
          <w:szCs w:val="21"/>
        </w:rPr>
        <w:t>当提供的伴随服务/售后服务费用。</w:t>
      </w:r>
    </w:p>
    <w:p>
      <w:pPr>
        <w:pStyle w:val="11"/>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cs="宋体" w:asciiTheme="minorEastAsia" w:hAnsiTheme="minorEastAsia"/>
          <w:b/>
          <w:color w:val="000000"/>
          <w:sz w:val="21"/>
          <w:szCs w:val="21"/>
        </w:rPr>
      </w:pPr>
      <w:r>
        <w:rPr>
          <w:rFonts w:hint="eastAsia" w:cs="宋体" w:asciiTheme="minorEastAsia" w:hAnsiTheme="minorEastAsia"/>
          <w:b/>
          <w:color w:val="000000"/>
          <w:sz w:val="21"/>
          <w:szCs w:val="21"/>
        </w:rPr>
        <w:t>第三条 组成本合同的有关文件</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cs="宋体" w:asciiTheme="minorEastAsia" w:hAnsiTheme="minorEastAsia"/>
          <w:color w:val="000000"/>
          <w:sz w:val="21"/>
          <w:szCs w:val="21"/>
        </w:rPr>
      </w:pPr>
      <w:r>
        <w:rPr>
          <w:rFonts w:hint="eastAsia" w:cs="宋体" w:asciiTheme="minorEastAsia" w:hAnsiTheme="minorEastAsia"/>
          <w:color w:val="000000"/>
          <w:sz w:val="21"/>
          <w:szCs w:val="21"/>
        </w:rPr>
        <w:t>下列与本次采购活动有关的文件及有关附件是本合同不可分割的组成部分，与本合同具有同等法律效力，这些文件包括但不限于：</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cs="宋体" w:asciiTheme="minorEastAsia" w:hAnsiTheme="minorEastAsia"/>
          <w:color w:val="000000"/>
          <w:sz w:val="21"/>
          <w:szCs w:val="21"/>
        </w:rPr>
      </w:pPr>
      <w:r>
        <w:rPr>
          <w:rFonts w:hint="eastAsia" w:cs="宋体" w:asciiTheme="minorEastAsia" w:hAnsiTheme="minorEastAsia"/>
          <w:color w:val="000000"/>
          <w:sz w:val="21"/>
          <w:szCs w:val="21"/>
        </w:rPr>
        <w:t xml:space="preserve">（1）竞争性谈判文件（编号：   ）           （2）乙方提供的谈判响应文件； </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cs="宋体" w:asciiTheme="minorEastAsia" w:hAnsiTheme="minorEastAsia"/>
          <w:color w:val="000000"/>
          <w:sz w:val="21"/>
          <w:szCs w:val="21"/>
        </w:rPr>
      </w:pPr>
      <w:r>
        <w:rPr>
          <w:rFonts w:hint="eastAsia" w:cs="宋体" w:asciiTheme="minorEastAsia" w:hAnsiTheme="minorEastAsia"/>
          <w:color w:val="000000"/>
          <w:sz w:val="21"/>
          <w:szCs w:val="21"/>
        </w:rPr>
        <w:t>（</w:t>
      </w:r>
      <w:r>
        <w:rPr>
          <w:rFonts w:cs="宋体" w:asciiTheme="minorEastAsia" w:hAnsiTheme="minorEastAsia"/>
          <w:color w:val="000000"/>
          <w:sz w:val="21"/>
          <w:szCs w:val="21"/>
        </w:rPr>
        <w:t>3</w:t>
      </w:r>
      <w:r>
        <w:rPr>
          <w:rFonts w:hint="eastAsia" w:cs="宋体" w:asciiTheme="minorEastAsia" w:hAnsiTheme="minorEastAsia"/>
          <w:color w:val="000000"/>
          <w:sz w:val="21"/>
          <w:szCs w:val="21"/>
        </w:rPr>
        <w:t xml:space="preserve">）成交通知书；        </w:t>
      </w:r>
      <w:r>
        <w:rPr>
          <w:rFonts w:cs="宋体" w:asciiTheme="minorEastAsia" w:hAnsiTheme="minorEastAsia"/>
          <w:color w:val="000000"/>
          <w:sz w:val="21"/>
          <w:szCs w:val="21"/>
        </w:rPr>
        <w:t xml:space="preserve">                  </w:t>
      </w:r>
      <w:r>
        <w:rPr>
          <w:rFonts w:hint="eastAsia" w:cs="宋体" w:asciiTheme="minorEastAsia" w:hAnsiTheme="minorEastAsia"/>
          <w:color w:val="000000"/>
          <w:sz w:val="21"/>
          <w:szCs w:val="21"/>
        </w:rPr>
        <w:t>（</w:t>
      </w:r>
      <w:r>
        <w:rPr>
          <w:rFonts w:cs="宋体" w:asciiTheme="minorEastAsia" w:hAnsiTheme="minorEastAsia"/>
          <w:color w:val="000000"/>
          <w:sz w:val="21"/>
          <w:szCs w:val="21"/>
        </w:rPr>
        <w:t>4</w:t>
      </w:r>
      <w:r>
        <w:rPr>
          <w:rFonts w:hint="eastAsia" w:cs="宋体" w:asciiTheme="minorEastAsia" w:hAnsiTheme="minorEastAsia"/>
          <w:color w:val="000000"/>
          <w:sz w:val="21"/>
          <w:szCs w:val="21"/>
        </w:rPr>
        <w:t>）甲乙双方商定的其他文件等。</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Theme="minorEastAsia" w:hAnsiTheme="minorEastAsia" w:eastAsiaTheme="minorEastAsia"/>
          <w:b/>
          <w:szCs w:val="21"/>
        </w:rPr>
      </w:pPr>
      <w:r>
        <w:rPr>
          <w:rFonts w:hint="eastAsia" w:asciiTheme="minorEastAsia" w:hAnsiTheme="minorEastAsia" w:eastAsiaTheme="minorEastAsia"/>
          <w:b/>
          <w:szCs w:val="21"/>
        </w:rPr>
        <w:t>第四条 权利保证</w:t>
      </w:r>
    </w:p>
    <w:p>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asciiTheme="minorEastAsia" w:hAnsiTheme="minorEastAsia" w:eastAsiaTheme="minorEastAsia"/>
          <w:szCs w:val="21"/>
        </w:rPr>
      </w:pPr>
      <w:r>
        <w:rPr>
          <w:rFonts w:hint="eastAsia" w:asciiTheme="minorEastAsia" w:hAnsiTheme="minorEastAsia" w:eastAsiaTheme="minorEastAsia"/>
          <w:szCs w:val="21"/>
        </w:rPr>
        <w:t>乙方应保证甲方在使用该货物或其任何一部分时不受第三方提出侵犯其专利权</w:t>
      </w:r>
      <w:r>
        <w:rPr>
          <w:rFonts w:hint="eastAsia"/>
          <w:color w:val="000000"/>
          <w:shd w:val="clear" w:color="auto" w:fill="FFFFFF"/>
        </w:rPr>
        <w:t>、</w:t>
      </w:r>
      <w:r>
        <w:rPr>
          <w:color w:val="000000"/>
          <w:shd w:val="clear" w:color="auto" w:fill="FFFFFF"/>
        </w:rPr>
        <w:t>著作</w:t>
      </w:r>
      <w:r>
        <w:rPr>
          <w:rFonts w:hint="eastAsia"/>
          <w:color w:val="000000"/>
          <w:shd w:val="clear" w:color="auto" w:fill="FFFFFF"/>
        </w:rPr>
        <w:t>权、商标权等知识产权的起诉。</w:t>
      </w:r>
      <w:r>
        <w:rPr>
          <w:rFonts w:hint="eastAsia" w:asciiTheme="minorEastAsia" w:hAnsiTheme="minorEastAsia" w:eastAsiaTheme="minorEastAsia"/>
          <w:szCs w:val="21"/>
        </w:rPr>
        <w:t>一旦出现侵权、索赔或诉讼，乙方应承担全部责任</w:t>
      </w:r>
      <w:r>
        <w:rPr>
          <w:rFonts w:asciiTheme="minorEastAsia" w:hAnsiTheme="minorEastAsia" w:eastAsiaTheme="minorEastAsia"/>
          <w:szCs w:val="21"/>
        </w:rPr>
        <w:t>，</w:t>
      </w:r>
      <w:r>
        <w:rPr>
          <w:rFonts w:hint="eastAsia" w:asciiTheme="minorEastAsia" w:hAnsiTheme="minorEastAsia" w:eastAsiaTheme="minorEastAsia"/>
          <w:szCs w:val="21"/>
        </w:rPr>
        <w:t>同时</w:t>
      </w:r>
      <w:r>
        <w:rPr>
          <w:rFonts w:asciiTheme="minorEastAsia" w:hAnsiTheme="minorEastAsia" w:eastAsiaTheme="minorEastAsia"/>
          <w:szCs w:val="21"/>
        </w:rPr>
        <w:t>甲方</w:t>
      </w:r>
      <w:r>
        <w:rPr>
          <w:rFonts w:hint="eastAsia" w:asciiTheme="minorEastAsia" w:hAnsiTheme="minorEastAsia" w:eastAsiaTheme="minorEastAsia"/>
          <w:szCs w:val="21"/>
        </w:rPr>
        <w:t>有权</w:t>
      </w:r>
      <w:r>
        <w:rPr>
          <w:rFonts w:asciiTheme="minorEastAsia" w:hAnsiTheme="minorEastAsia" w:eastAsiaTheme="minorEastAsia"/>
          <w:szCs w:val="21"/>
        </w:rPr>
        <w:t>解除本合同</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Theme="minorEastAsia" w:hAnsiTheme="minorEastAsia" w:eastAsiaTheme="minorEastAsia"/>
          <w:b/>
          <w:szCs w:val="21"/>
        </w:rPr>
      </w:pPr>
      <w:r>
        <w:rPr>
          <w:rFonts w:hint="eastAsia" w:asciiTheme="minorEastAsia" w:hAnsiTheme="minorEastAsia" w:eastAsiaTheme="minorEastAsia"/>
          <w:b/>
          <w:szCs w:val="21"/>
        </w:rPr>
        <w:t>第五条 质量保证</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1.乙方所提供的货物的技术规格应与竞争性谈判文件规定的技术规格及所附的“技术规格响应表”相一致；若技术性能无特殊说明，则按国家有关部门最新颁布的标准及规范为准。</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cs="宋体" w:asciiTheme="minorEastAsia" w:hAnsiTheme="minorEastAsia"/>
          <w:color w:val="000000"/>
          <w:sz w:val="21"/>
          <w:szCs w:val="21"/>
        </w:rPr>
      </w:pPr>
      <w:r>
        <w:rPr>
          <w:rFonts w:hint="eastAsia" w:asciiTheme="minorEastAsia" w:hAnsiTheme="minorEastAsia"/>
          <w:sz w:val="21"/>
          <w:szCs w:val="21"/>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Theme="minorEastAsia" w:hAnsiTheme="minorEastAsia" w:eastAsiaTheme="minorEastAsia"/>
          <w:b/>
          <w:szCs w:val="21"/>
        </w:rPr>
      </w:pPr>
      <w:r>
        <w:rPr>
          <w:rFonts w:hint="eastAsia" w:asciiTheme="minorEastAsia" w:hAnsiTheme="minorEastAsia" w:eastAsiaTheme="minorEastAsia"/>
          <w:b/>
          <w:szCs w:val="21"/>
        </w:rPr>
        <w:t>第六条 包装要求</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2.每一包装单元内应附详细的装箱单和质量合格凭证。</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3.乙方保证货物不存在危及人身及财产安全的产品缺陷，否则应承担全部法律责任。</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Theme="minorEastAsia" w:hAnsiTheme="minorEastAsia" w:eastAsiaTheme="minorEastAsia"/>
          <w:b/>
          <w:szCs w:val="21"/>
        </w:rPr>
      </w:pPr>
      <w:r>
        <w:rPr>
          <w:rFonts w:hint="eastAsia" w:asciiTheme="minorEastAsia" w:hAnsiTheme="minorEastAsia" w:eastAsiaTheme="minorEastAsia"/>
          <w:b/>
          <w:szCs w:val="21"/>
        </w:rPr>
        <w:t>第七条 交货和验收</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1.乙方应当在合同签订后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天内将货物安装调试完毕交付甲方正常使用，地点由甲方指定。竞争性谈判文件有约定的，从其约定。</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2.乙方交付的货物应当完全符合本合同或者招谈判响应文件所规定的货物、数量和规格要求。乙方提供的货物不符合招谈判响应文件和合同规定的，甲方有权拒收货物，由此引起的风险，由乙方承担。</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3.货物的到货验收包括：生产厂家名称、品牌、型号、规格、数量、外观质量、配置及货物包装是否完好。</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5.货物和系统调试验收的标准：按行业通行标准、厂方出厂标准和乙方谈判响应文件的承诺（详见合同附件载明的标准，并不低于国家相关标准）。甲乙双方应在货物安装调试完毕后的</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a.重新调试直至合格为止；</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b.要求乙方对货物进行免费更换，然后重新调试直至合格为止。</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cs="宋体" w:asciiTheme="minorEastAsia" w:hAnsiTheme="minorEastAsia"/>
          <w:b/>
          <w:color w:val="000000"/>
          <w:sz w:val="21"/>
          <w:szCs w:val="21"/>
        </w:rPr>
      </w:pPr>
      <w:r>
        <w:rPr>
          <w:rFonts w:hint="eastAsia" w:asciiTheme="minorEastAsia" w:hAnsiTheme="minorEastAsia"/>
          <w:sz w:val="21"/>
          <w:szCs w:val="21"/>
        </w:rPr>
        <w:t>甲方因乙方原因所产生的所有费用均由乙方负担</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Theme="minorEastAsia" w:hAnsiTheme="minorEastAsia" w:eastAsiaTheme="minorEastAsia"/>
          <w:b/>
          <w:szCs w:val="21"/>
        </w:rPr>
      </w:pPr>
      <w:r>
        <w:rPr>
          <w:rFonts w:hint="eastAsia" w:asciiTheme="minorEastAsia" w:hAnsiTheme="minorEastAsia" w:eastAsiaTheme="minorEastAsia"/>
          <w:b/>
          <w:szCs w:val="21"/>
        </w:rPr>
        <w:t>第八条 履约保证金</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1.乙方应按竞争性谈判文件的约定提供相应的履约保证金。</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.如乙方未能履行合同规定的义务，甲方有权从履约保证金</w:t>
      </w:r>
      <w:r>
        <w:rPr>
          <w:rFonts w:asciiTheme="minorEastAsia" w:hAnsiTheme="minorEastAsia" w:eastAsiaTheme="minorEastAsia"/>
          <w:szCs w:val="21"/>
        </w:rPr>
        <w:t>直接扣取</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.履约保证金待合同全部履行完毕后全额无息退回。</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Theme="minorEastAsia" w:hAnsiTheme="minorEastAsia" w:eastAsiaTheme="minorEastAsia"/>
          <w:b/>
          <w:szCs w:val="21"/>
        </w:rPr>
      </w:pPr>
      <w:r>
        <w:rPr>
          <w:rFonts w:hint="eastAsia" w:asciiTheme="minorEastAsia" w:hAnsiTheme="minorEastAsia" w:eastAsiaTheme="minorEastAsia"/>
          <w:b/>
          <w:szCs w:val="21"/>
        </w:rPr>
        <w:t>第九条 合同款结算</w:t>
      </w:r>
      <w:r>
        <w:rPr>
          <w:rFonts w:asciiTheme="minorEastAsia" w:hAnsiTheme="minorEastAsia" w:eastAsiaTheme="minorEastAsia"/>
          <w:b/>
          <w:szCs w:val="21"/>
        </w:rPr>
        <w:t>及</w:t>
      </w:r>
      <w:r>
        <w:rPr>
          <w:rFonts w:hint="eastAsia" w:asciiTheme="minorEastAsia" w:hAnsiTheme="minorEastAsia" w:eastAsiaTheme="minorEastAsia"/>
          <w:b/>
          <w:szCs w:val="21"/>
        </w:rPr>
        <w:t>支付</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1.本合同项下所有款项均以人民币支付。</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2.本合同项下的采购资金由甲方自行支付，乙方向甲方开具发票。</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3.结算</w:t>
      </w:r>
      <w:r>
        <w:rPr>
          <w:rFonts w:asciiTheme="minorEastAsia" w:hAnsiTheme="minorEastAsia" w:eastAsiaTheme="minorEastAsia"/>
          <w:szCs w:val="21"/>
        </w:rPr>
        <w:t>原则：按实结算</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4.如设计变更，增加的设备在清单中有的，按投标时的报价执行，若增加的设备在清单中没有的，结算时参照相似设备的谈判报价，双方协商解决。</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color w:val="FF0000"/>
          <w:szCs w:val="21"/>
        </w:rPr>
      </w:pPr>
      <w:r>
        <w:rPr>
          <w:rFonts w:asciiTheme="minorEastAsia" w:hAnsiTheme="minorEastAsia" w:eastAsiaTheme="minorEastAsia"/>
          <w:color w:val="FF0000"/>
          <w:szCs w:val="21"/>
        </w:rPr>
        <w:t>5</w:t>
      </w:r>
      <w:r>
        <w:rPr>
          <w:rFonts w:hint="eastAsia" w:asciiTheme="minorEastAsia" w:hAnsiTheme="minorEastAsia" w:eastAsiaTheme="minorEastAsia"/>
          <w:color w:val="FF0000"/>
          <w:szCs w:val="21"/>
        </w:rPr>
        <w:t>.付款方式：</w:t>
      </w:r>
      <w:r>
        <w:rPr>
          <w:rFonts w:hint="eastAsia"/>
        </w:rPr>
        <w:t>合同签订当年年底支付合同金额的70%，第二年年底支付合同金额的30%。</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Theme="minorEastAsia" w:hAnsiTheme="minorEastAsia" w:eastAsiaTheme="minorEastAsia"/>
          <w:b/>
          <w:szCs w:val="21"/>
        </w:rPr>
      </w:pPr>
      <w:r>
        <w:rPr>
          <w:rFonts w:hint="eastAsia" w:asciiTheme="minorEastAsia" w:hAnsiTheme="minorEastAsia" w:eastAsiaTheme="minorEastAsia"/>
          <w:b/>
          <w:szCs w:val="21"/>
        </w:rPr>
        <w:t>第十条 伴随服务／售后服务</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1.乙方应按照国家有关法律法规规章和“三包”规定以及合同所附的“服务承诺”提供服务。</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2.除前款规定外，乙方还应提供下列服务：</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（1）货物的现场安装、调试和/或启动监督；</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（2）就货物的安装、启动、运行及维护等对甲方人员进行免费培训。</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3.若竞争性谈判文件中不包含有关伴随服务或售后服务的承诺，双方作如下约定：</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3.2 所购货物按乙方谈判承诺提供免费维护和质量保证，保修费用计入总价。</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3.3 保修期内，乙方负责对其提供的货物整机进行维修和系统维护，不再收取任何费用，但不可抗力（如火灾、雷击等）造成的故障除外。</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3.4 货物故障报修的响应时间按乙方谈判承诺执行。</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3.5 若货物故障在检修</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工作小时后仍无法排除，乙方应在</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小时内免费提供不低于故障货物规格型号档次的备用货物供甲方使用，直至故障货物修复。</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3.6 所有货物保修服务方式均为乙方上门保修，即由乙方派员到货物使用现场维修，由此产生的一切费用均由乙方承担。</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3.7 保修期后的货物维护由双方协商再定。</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本项目免费保修期为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年。自产品验收合格之日起计算。</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Theme="minorEastAsia" w:hAnsiTheme="minorEastAsia" w:eastAsiaTheme="minorEastAsia"/>
          <w:b/>
          <w:szCs w:val="21"/>
        </w:rPr>
      </w:pPr>
      <w:r>
        <w:rPr>
          <w:rFonts w:hint="eastAsia" w:asciiTheme="minorEastAsia" w:hAnsiTheme="minorEastAsia" w:eastAsiaTheme="minorEastAsia"/>
          <w:b/>
          <w:szCs w:val="21"/>
        </w:rPr>
        <w:t>第十一条 违约责任</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1.如乙方不能按时交付货物完成安装调试的，每逾期1天，乙方向甲方偿付合同总额5‰的违约金；乙方逾期交付货物或完成安装调试超过10天（含10天），甲方有权解除合同，乙方交纳的全部履约保证金不予退还，同时有权要求乙方按照合同总价5%的标准支付违约金，解除合同的通知自发出之日生效。</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2.甲方未按合同规定的期限向乙方支付货款的，每逾期1天甲方向乙方偿付欠款总额的5‰滞纳金，但累计滞纳金总额不超过欠款总额的5% 。</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3.乙方所交付的货物品种、型号、规格不符合合同规定的，甲方有权拒收，同时有权解除合同，全部履约保证金不予退还，解除合同的通知自发出之日生效。</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4.在乙方承诺的或国家规定的质量保证期内（取两者中最长的期限），如经乙方两次维修或更换，货物仍不能达到合同约定的质量标准、运行效果的，甲方有权要求退货，乙方应退回全部货款，同时甲方有权按照本条第1点不予退还履约保证金和向乙方主张违约金，若仍不足以弥补甲方损失，则乙方还须赔偿甲方因此遭受的所有损失。</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5.乙方未按本合同规定向甲方交付履约保证金的，甲方有权拒绝签订本合同，同时乙方应按应交付履约保证金的100%向甲方支付违约金。</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6.乙方未按本合同的规定和“服务承诺”提供伴随服务/售后服务的，甲方有权提前解除本合同，同时乙方应按合同总价款的5 %向甲方承担违约责任。</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7.乙方在承担上述一项或多项违约责任后，仍应继续履行合同规定的义务（甲方解除合同的除外）。甲方未能及时追究乙方的任何一项违约责任并不表明甲方放弃追究乙方该项或其他违约责任。</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8.乙方投标属虚假承诺，或经权威部门监测提供的货物不能满足招标文件要求，或是由于乙方的过错造成合同无法继续履行的，除乙方已交履约保证金不予退还外，还应向甲方支付不少于合同总价30%违约金，若该违约金不足以弥补甲方损失，则应当赔偿甲方所有损失。</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9.其他未尽事宜，以《合同法》等有关法律法规规定为准，无相关规定的，双方协商解决。</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Theme="minorEastAsia" w:hAnsiTheme="minorEastAsia" w:eastAsiaTheme="minorEastAsia"/>
          <w:b/>
          <w:szCs w:val="21"/>
        </w:rPr>
      </w:pPr>
      <w:r>
        <w:rPr>
          <w:rFonts w:hint="eastAsia" w:asciiTheme="minorEastAsia" w:hAnsiTheme="minorEastAsia" w:eastAsiaTheme="minorEastAsia"/>
          <w:b/>
          <w:szCs w:val="21"/>
        </w:rPr>
        <w:t>第十二条 合同的变更和终止</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本合同一经签订，甲乙双方不得擅自变更、中止或终止合同。</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除发生法律规定的不能预见、不能避免并不能克服的客观情况外，甲乙双方不得放弃或拒绝履行合同。乙方放弃或拒绝履行合同，保证金不予退还。</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Theme="minorEastAsia" w:hAnsiTheme="minorEastAsia" w:eastAsiaTheme="minorEastAsia"/>
          <w:b/>
          <w:szCs w:val="21"/>
        </w:rPr>
      </w:pPr>
      <w:r>
        <w:rPr>
          <w:rFonts w:hint="eastAsia" w:asciiTheme="minorEastAsia" w:hAnsiTheme="minorEastAsia" w:eastAsiaTheme="minorEastAsia"/>
          <w:b/>
          <w:szCs w:val="21"/>
        </w:rPr>
        <w:t>第十三条 合同的转让</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乙方不得擅自部分或全部转让其应履行的合同义务。</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Theme="minorEastAsia" w:hAnsiTheme="minorEastAsia" w:eastAsiaTheme="minorEastAsia"/>
          <w:b/>
          <w:szCs w:val="21"/>
        </w:rPr>
      </w:pPr>
      <w:r>
        <w:rPr>
          <w:rFonts w:hint="eastAsia" w:asciiTheme="minorEastAsia" w:hAnsiTheme="minorEastAsia" w:eastAsiaTheme="minorEastAsia"/>
          <w:b/>
          <w:szCs w:val="21"/>
        </w:rPr>
        <w:t>第十四条 不可抗力</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甲、乙方中任何一方，因不可抗力不能按时或完全履行合同的，应及时通知对方，并在5日内提供相应证明。未履行完合同部分是否继续履行、如何履行等问题，可由双方初步协商，并向主管部门报告。确定为不可抗力原因造成的损失，免予承担责任。</w:t>
      </w:r>
    </w:p>
    <w:p>
      <w:pPr>
        <w:keepNext w:val="0"/>
        <w:keepLines w:val="0"/>
        <w:pageBreakBefore w:val="0"/>
        <w:kinsoku/>
        <w:wordWrap/>
        <w:overflowPunct/>
        <w:topLinePunct w:val="0"/>
        <w:autoSpaceDE/>
        <w:autoSpaceDN/>
        <w:bidi w:val="0"/>
        <w:adjustRightInd w:val="0"/>
        <w:snapToGrid w:val="0"/>
        <w:spacing w:line="360" w:lineRule="exact"/>
        <w:ind w:firstLine="424" w:firstLineChars="201"/>
        <w:textAlignment w:val="auto"/>
        <w:rPr>
          <w:rFonts w:asciiTheme="minorEastAsia" w:hAnsiTheme="minorEastAsia" w:eastAsiaTheme="minorEastAsia"/>
          <w:b/>
          <w:szCs w:val="21"/>
        </w:rPr>
      </w:pPr>
      <w:r>
        <w:rPr>
          <w:rFonts w:hint="eastAsia" w:asciiTheme="minorEastAsia" w:hAnsiTheme="minorEastAsia" w:eastAsiaTheme="minorEastAsia"/>
          <w:b/>
          <w:szCs w:val="21"/>
        </w:rPr>
        <w:t>第十五条</w:t>
      </w:r>
      <w:r>
        <w:rPr>
          <w:rFonts w:asciiTheme="minorEastAsia" w:hAnsiTheme="minorEastAsia" w:eastAsiaTheme="minorEastAsia"/>
          <w:b/>
          <w:szCs w:val="21"/>
        </w:rPr>
        <w:t xml:space="preserve"> 质量问题或缺陷的</w:t>
      </w:r>
      <w:r>
        <w:rPr>
          <w:rFonts w:hint="eastAsia" w:asciiTheme="minorEastAsia" w:hAnsiTheme="minorEastAsia" w:eastAsiaTheme="minorEastAsia"/>
          <w:b/>
          <w:szCs w:val="21"/>
        </w:rPr>
        <w:t>索赔</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乙方</w:t>
      </w:r>
      <w:r>
        <w:rPr>
          <w:rFonts w:hint="eastAsia" w:asciiTheme="minorEastAsia" w:hAnsiTheme="minorEastAsia" w:eastAsiaTheme="minorEastAsia"/>
          <w:szCs w:val="21"/>
        </w:rPr>
        <w:t>交付</w:t>
      </w:r>
      <w:r>
        <w:rPr>
          <w:rFonts w:asciiTheme="minorEastAsia" w:hAnsiTheme="minorEastAsia" w:eastAsiaTheme="minorEastAsia"/>
          <w:szCs w:val="21"/>
        </w:rPr>
        <w:t>货物后，甲方发现</w:t>
      </w:r>
      <w:r>
        <w:rPr>
          <w:rFonts w:hint="eastAsia" w:asciiTheme="minorEastAsia" w:hAnsiTheme="minorEastAsia" w:eastAsiaTheme="minorEastAsia"/>
          <w:szCs w:val="21"/>
        </w:rPr>
        <w:t>货物</w:t>
      </w:r>
      <w:r>
        <w:rPr>
          <w:rFonts w:asciiTheme="minorEastAsia" w:hAnsiTheme="minorEastAsia" w:eastAsiaTheme="minorEastAsia"/>
          <w:szCs w:val="21"/>
        </w:rPr>
        <w:t>的</w:t>
      </w:r>
      <w:r>
        <w:rPr>
          <w:rFonts w:hint="eastAsia" w:asciiTheme="minorEastAsia" w:hAnsiTheme="minorEastAsia" w:eastAsiaTheme="minorEastAsia"/>
          <w:szCs w:val="21"/>
        </w:rPr>
        <w:t>质量</w:t>
      </w:r>
      <w:r>
        <w:rPr>
          <w:rFonts w:asciiTheme="minorEastAsia" w:hAnsiTheme="minorEastAsia" w:eastAsiaTheme="minorEastAsia"/>
          <w:szCs w:val="21"/>
        </w:rPr>
        <w:t>与合同内容不符或证实</w:t>
      </w:r>
      <w:r>
        <w:rPr>
          <w:rFonts w:hint="eastAsia" w:asciiTheme="minorEastAsia" w:hAnsiTheme="minorEastAsia" w:eastAsiaTheme="minorEastAsia"/>
          <w:szCs w:val="21"/>
        </w:rPr>
        <w:t>货物存在</w:t>
      </w:r>
      <w:r>
        <w:rPr>
          <w:rFonts w:asciiTheme="minorEastAsia" w:hAnsiTheme="minorEastAsia" w:eastAsiaTheme="minorEastAsia"/>
          <w:szCs w:val="21"/>
        </w:rPr>
        <w:t>缺陷的</w:t>
      </w:r>
      <w:r>
        <w:rPr>
          <w:rFonts w:hint="eastAsia" w:asciiTheme="minorEastAsia" w:hAnsiTheme="minorEastAsia" w:eastAsiaTheme="minorEastAsia"/>
          <w:szCs w:val="21"/>
        </w:rPr>
        <w:t>（</w:t>
      </w:r>
      <w:r>
        <w:rPr>
          <w:rFonts w:asciiTheme="minorEastAsia" w:hAnsiTheme="minorEastAsia" w:eastAsiaTheme="minorEastAsia"/>
          <w:szCs w:val="21"/>
        </w:rPr>
        <w:t>包括潜在缺陷</w:t>
      </w:r>
      <w:r>
        <w:rPr>
          <w:rFonts w:hint="eastAsia" w:asciiTheme="minorEastAsia" w:hAnsiTheme="minorEastAsia" w:eastAsiaTheme="minorEastAsia"/>
          <w:szCs w:val="21"/>
        </w:rPr>
        <w:t>）</w:t>
      </w:r>
      <w:r>
        <w:rPr>
          <w:rFonts w:asciiTheme="minorEastAsia" w:hAnsiTheme="minorEastAsia" w:eastAsiaTheme="minorEastAsia"/>
          <w:szCs w:val="21"/>
        </w:rPr>
        <w:t>，乙方应在收到甲方索赔通知后3</w:t>
      </w:r>
      <w:r>
        <w:rPr>
          <w:rFonts w:hint="eastAsia" w:asciiTheme="minorEastAsia" w:hAnsiTheme="minorEastAsia" w:eastAsiaTheme="minorEastAsia"/>
          <w:szCs w:val="21"/>
        </w:rPr>
        <w:t>日</w:t>
      </w:r>
      <w:r>
        <w:rPr>
          <w:rFonts w:asciiTheme="minorEastAsia" w:hAnsiTheme="minorEastAsia" w:eastAsiaTheme="minorEastAsia"/>
          <w:szCs w:val="21"/>
        </w:rPr>
        <w:t>内到甲方</w:t>
      </w:r>
      <w:r>
        <w:rPr>
          <w:rFonts w:hint="eastAsia" w:asciiTheme="minorEastAsia" w:hAnsiTheme="minorEastAsia" w:eastAsiaTheme="minorEastAsia"/>
          <w:szCs w:val="21"/>
        </w:rPr>
        <w:t>处</w:t>
      </w:r>
      <w:r>
        <w:rPr>
          <w:rFonts w:asciiTheme="minorEastAsia" w:hAnsiTheme="minorEastAsia" w:eastAsiaTheme="minorEastAsia"/>
          <w:szCs w:val="21"/>
        </w:rPr>
        <w:t>，</w:t>
      </w:r>
      <w:r>
        <w:rPr>
          <w:rFonts w:hint="eastAsia" w:asciiTheme="minorEastAsia" w:hAnsiTheme="minorEastAsia" w:eastAsiaTheme="minorEastAsia"/>
          <w:szCs w:val="21"/>
        </w:rPr>
        <w:t>商量</w:t>
      </w:r>
      <w:r>
        <w:rPr>
          <w:rFonts w:asciiTheme="minorEastAsia" w:hAnsiTheme="minorEastAsia" w:eastAsiaTheme="minorEastAsia"/>
          <w:szCs w:val="21"/>
        </w:rPr>
        <w:t>解决货物</w:t>
      </w:r>
      <w:r>
        <w:rPr>
          <w:rFonts w:hint="eastAsia" w:asciiTheme="minorEastAsia" w:hAnsiTheme="minorEastAsia" w:eastAsiaTheme="minorEastAsia"/>
          <w:szCs w:val="21"/>
        </w:rPr>
        <w:t>质量</w:t>
      </w:r>
      <w:r>
        <w:rPr>
          <w:rFonts w:asciiTheme="minorEastAsia" w:hAnsiTheme="minorEastAsia" w:eastAsiaTheme="minorEastAsia"/>
          <w:szCs w:val="21"/>
        </w:rPr>
        <w:t>或缺陷问题。若乙方未</w:t>
      </w:r>
      <w:r>
        <w:rPr>
          <w:rFonts w:hint="eastAsia" w:asciiTheme="minorEastAsia" w:hAnsiTheme="minorEastAsia" w:eastAsiaTheme="minorEastAsia"/>
          <w:szCs w:val="21"/>
        </w:rPr>
        <w:t>在</w:t>
      </w:r>
      <w:r>
        <w:rPr>
          <w:rFonts w:asciiTheme="minorEastAsia" w:hAnsiTheme="minorEastAsia" w:eastAsiaTheme="minorEastAsia"/>
          <w:szCs w:val="21"/>
        </w:rPr>
        <w:t>上述约定时间</w:t>
      </w:r>
      <w:r>
        <w:rPr>
          <w:rFonts w:hint="eastAsia" w:asciiTheme="minorEastAsia" w:hAnsiTheme="minorEastAsia" w:eastAsiaTheme="minorEastAsia"/>
          <w:szCs w:val="21"/>
        </w:rPr>
        <w:t>内</w:t>
      </w:r>
      <w:r>
        <w:rPr>
          <w:rFonts w:asciiTheme="minorEastAsia" w:hAnsiTheme="minorEastAsia" w:eastAsiaTheme="minorEastAsia"/>
          <w:szCs w:val="21"/>
        </w:rPr>
        <w:t>到场解决，</w:t>
      </w:r>
      <w:r>
        <w:rPr>
          <w:rFonts w:hint="eastAsia" w:asciiTheme="minorEastAsia" w:hAnsiTheme="minorEastAsia" w:eastAsiaTheme="minorEastAsia"/>
          <w:szCs w:val="21"/>
        </w:rPr>
        <w:t>因此</w:t>
      </w:r>
      <w:r>
        <w:rPr>
          <w:rFonts w:asciiTheme="minorEastAsia" w:hAnsiTheme="minorEastAsia" w:eastAsiaTheme="minorEastAsia"/>
          <w:szCs w:val="21"/>
        </w:rPr>
        <w:t>产生的损失以及扩大损失全部由乙方承担，</w:t>
      </w:r>
      <w:r>
        <w:rPr>
          <w:rFonts w:hint="eastAsia" w:asciiTheme="minorEastAsia" w:hAnsiTheme="minorEastAsia" w:eastAsiaTheme="minorEastAsia"/>
          <w:szCs w:val="21"/>
        </w:rPr>
        <w:t>甲方</w:t>
      </w:r>
      <w:r>
        <w:rPr>
          <w:rFonts w:asciiTheme="minorEastAsia" w:hAnsiTheme="minorEastAsia" w:eastAsiaTheme="minorEastAsia"/>
          <w:szCs w:val="21"/>
        </w:rPr>
        <w:t>有权选择</w:t>
      </w:r>
      <w:r>
        <w:rPr>
          <w:rFonts w:hint="eastAsia" w:asciiTheme="minorEastAsia" w:hAnsiTheme="minorEastAsia" w:eastAsiaTheme="minorEastAsia"/>
          <w:szCs w:val="21"/>
        </w:rPr>
        <w:t>解除</w:t>
      </w:r>
      <w:r>
        <w:rPr>
          <w:rFonts w:asciiTheme="minorEastAsia" w:hAnsiTheme="minorEastAsia" w:eastAsiaTheme="minorEastAsia"/>
          <w:szCs w:val="21"/>
        </w:rPr>
        <w:t>合同，</w:t>
      </w:r>
      <w:r>
        <w:rPr>
          <w:rFonts w:hint="eastAsia" w:asciiTheme="minorEastAsia" w:hAnsiTheme="minorEastAsia" w:eastAsiaTheme="minorEastAsia"/>
          <w:szCs w:val="21"/>
        </w:rPr>
        <w:t>要求退还</w:t>
      </w:r>
      <w:r>
        <w:rPr>
          <w:rFonts w:asciiTheme="minorEastAsia" w:hAnsiTheme="minorEastAsia" w:eastAsiaTheme="minorEastAsia"/>
          <w:szCs w:val="21"/>
        </w:rPr>
        <w:t>全部货物，</w:t>
      </w:r>
      <w:r>
        <w:rPr>
          <w:rFonts w:hint="eastAsia" w:asciiTheme="minorEastAsia" w:hAnsiTheme="minorEastAsia" w:eastAsiaTheme="minorEastAsia"/>
          <w:szCs w:val="21"/>
        </w:rPr>
        <w:t>返还</w:t>
      </w:r>
      <w:r>
        <w:rPr>
          <w:rFonts w:asciiTheme="minorEastAsia" w:hAnsiTheme="minorEastAsia" w:eastAsiaTheme="minorEastAsia"/>
          <w:szCs w:val="21"/>
        </w:rPr>
        <w:t>所有货款，不予退还全部履约保证金，</w:t>
      </w:r>
      <w:r>
        <w:rPr>
          <w:rFonts w:hint="eastAsia" w:asciiTheme="minorEastAsia" w:hAnsiTheme="minorEastAsia" w:eastAsiaTheme="minorEastAsia"/>
          <w:szCs w:val="21"/>
        </w:rPr>
        <w:t>并</w:t>
      </w:r>
      <w:r>
        <w:rPr>
          <w:rFonts w:asciiTheme="minorEastAsia" w:hAnsiTheme="minorEastAsia" w:eastAsiaTheme="minorEastAsia"/>
          <w:szCs w:val="21"/>
        </w:rPr>
        <w:t>有权按照合同总额5%</w:t>
      </w:r>
      <w:r>
        <w:rPr>
          <w:rFonts w:hint="eastAsia" w:asciiTheme="minorEastAsia" w:hAnsiTheme="minorEastAsia" w:eastAsiaTheme="minorEastAsia"/>
          <w:szCs w:val="21"/>
        </w:rPr>
        <w:t>标准</w:t>
      </w:r>
      <w:r>
        <w:rPr>
          <w:rFonts w:asciiTheme="minorEastAsia" w:hAnsiTheme="minorEastAsia" w:eastAsiaTheme="minorEastAsia"/>
          <w:szCs w:val="21"/>
        </w:rPr>
        <w:t>向乙方主张违约金；</w:t>
      </w:r>
      <w:r>
        <w:rPr>
          <w:rFonts w:hint="eastAsia" w:asciiTheme="minorEastAsia" w:hAnsiTheme="minorEastAsia" w:eastAsiaTheme="minorEastAsia"/>
          <w:szCs w:val="21"/>
        </w:rPr>
        <w:t>或者</w:t>
      </w:r>
      <w:r>
        <w:rPr>
          <w:rFonts w:asciiTheme="minorEastAsia" w:hAnsiTheme="minorEastAsia" w:eastAsiaTheme="minorEastAsia"/>
          <w:szCs w:val="21"/>
        </w:rPr>
        <w:t>有权安排第三方</w:t>
      </w:r>
      <w:r>
        <w:rPr>
          <w:rFonts w:hint="eastAsia" w:asciiTheme="minorEastAsia" w:hAnsiTheme="minorEastAsia" w:eastAsiaTheme="minorEastAsia"/>
          <w:szCs w:val="21"/>
        </w:rPr>
        <w:t>解决</w:t>
      </w:r>
      <w:r>
        <w:rPr>
          <w:rFonts w:asciiTheme="minorEastAsia" w:hAnsiTheme="minorEastAsia" w:eastAsiaTheme="minorEastAsia"/>
          <w:szCs w:val="21"/>
        </w:rPr>
        <w:t>货物质量或缺陷问题，</w:t>
      </w:r>
      <w:r>
        <w:rPr>
          <w:rFonts w:hint="eastAsia" w:asciiTheme="minorEastAsia" w:hAnsiTheme="minorEastAsia" w:eastAsiaTheme="minorEastAsia"/>
          <w:szCs w:val="21"/>
        </w:rPr>
        <w:t>因此</w:t>
      </w:r>
      <w:r>
        <w:rPr>
          <w:rFonts w:asciiTheme="minorEastAsia" w:hAnsiTheme="minorEastAsia" w:eastAsiaTheme="minorEastAsia"/>
          <w:szCs w:val="21"/>
        </w:rPr>
        <w:t>产生</w:t>
      </w:r>
      <w:r>
        <w:rPr>
          <w:rFonts w:hint="eastAsia" w:asciiTheme="minorEastAsia" w:hAnsiTheme="minorEastAsia" w:eastAsiaTheme="minorEastAsia"/>
          <w:szCs w:val="21"/>
        </w:rPr>
        <w:t>的</w:t>
      </w:r>
      <w:r>
        <w:rPr>
          <w:rFonts w:asciiTheme="minorEastAsia" w:hAnsiTheme="minorEastAsia" w:eastAsiaTheme="minorEastAsia"/>
          <w:szCs w:val="21"/>
        </w:rPr>
        <w:t>所有费用全部由乙方承担，</w:t>
      </w:r>
      <w:r>
        <w:rPr>
          <w:rFonts w:hint="eastAsia" w:asciiTheme="minorEastAsia" w:hAnsiTheme="minorEastAsia" w:eastAsiaTheme="minorEastAsia"/>
          <w:szCs w:val="21"/>
        </w:rPr>
        <w:t>甲方可以</w:t>
      </w:r>
      <w:r>
        <w:rPr>
          <w:rFonts w:asciiTheme="minorEastAsia" w:hAnsiTheme="minorEastAsia" w:eastAsiaTheme="minorEastAsia"/>
          <w:szCs w:val="21"/>
        </w:rPr>
        <w:t>在应付乙方的货款中直接扣除，</w:t>
      </w:r>
      <w:r>
        <w:rPr>
          <w:rFonts w:hint="eastAsia" w:asciiTheme="minorEastAsia" w:hAnsiTheme="minorEastAsia" w:eastAsiaTheme="minorEastAsia"/>
          <w:szCs w:val="21"/>
        </w:rPr>
        <w:t>同时</w:t>
      </w:r>
      <w:r>
        <w:rPr>
          <w:rFonts w:asciiTheme="minorEastAsia" w:hAnsiTheme="minorEastAsia" w:eastAsiaTheme="minorEastAsia"/>
          <w:szCs w:val="21"/>
        </w:rPr>
        <w:t>甲方不予退还全部履约保证金，</w:t>
      </w:r>
      <w:r>
        <w:rPr>
          <w:rFonts w:hint="eastAsia" w:asciiTheme="minorEastAsia" w:hAnsiTheme="minorEastAsia" w:eastAsiaTheme="minorEastAsia"/>
          <w:szCs w:val="21"/>
        </w:rPr>
        <w:t>并</w:t>
      </w:r>
      <w:r>
        <w:rPr>
          <w:rFonts w:asciiTheme="minorEastAsia" w:hAnsiTheme="minorEastAsia" w:eastAsiaTheme="minorEastAsia"/>
          <w:szCs w:val="21"/>
        </w:rPr>
        <w:t>有权按照合同总额5%</w:t>
      </w:r>
      <w:r>
        <w:rPr>
          <w:rFonts w:hint="eastAsia" w:asciiTheme="minorEastAsia" w:hAnsiTheme="minorEastAsia" w:eastAsiaTheme="minorEastAsia"/>
          <w:szCs w:val="21"/>
        </w:rPr>
        <w:t>标准</w:t>
      </w:r>
      <w:r>
        <w:rPr>
          <w:rFonts w:asciiTheme="minorEastAsia" w:hAnsiTheme="minorEastAsia" w:eastAsiaTheme="minorEastAsia"/>
          <w:szCs w:val="21"/>
        </w:rPr>
        <w:t>向乙方主张违约金</w:t>
      </w:r>
      <w:r>
        <w:rPr>
          <w:rFonts w:hint="eastAsia" w:asciiTheme="minorEastAsia" w:hAnsiTheme="minorEastAsia" w:eastAsiaTheme="minorEastAsia"/>
          <w:szCs w:val="21"/>
        </w:rPr>
        <w:t>。</w:t>
      </w:r>
      <w:r>
        <w:rPr>
          <w:rFonts w:asciiTheme="minorEastAsia" w:hAnsiTheme="minorEastAsia" w:eastAsiaTheme="minorEastAsia"/>
          <w:szCs w:val="21"/>
        </w:rPr>
        <w:t>若上述违约金不足以弥补甲方直接损失和</w:t>
      </w:r>
      <w:r>
        <w:rPr>
          <w:rFonts w:hint="eastAsia" w:asciiTheme="minorEastAsia" w:hAnsiTheme="minorEastAsia" w:eastAsiaTheme="minorEastAsia"/>
          <w:szCs w:val="21"/>
        </w:rPr>
        <w:t>间接</w:t>
      </w:r>
      <w:r>
        <w:rPr>
          <w:rFonts w:asciiTheme="minorEastAsia" w:hAnsiTheme="minorEastAsia" w:eastAsiaTheme="minorEastAsia"/>
          <w:szCs w:val="21"/>
        </w:rPr>
        <w:t>损失，</w:t>
      </w:r>
      <w:r>
        <w:rPr>
          <w:rFonts w:hint="eastAsia" w:asciiTheme="minorEastAsia" w:hAnsiTheme="minorEastAsia" w:eastAsiaTheme="minorEastAsia"/>
          <w:szCs w:val="21"/>
        </w:rPr>
        <w:t>则</w:t>
      </w:r>
      <w:r>
        <w:rPr>
          <w:rFonts w:asciiTheme="minorEastAsia" w:hAnsiTheme="minorEastAsia" w:eastAsiaTheme="minorEastAsia"/>
          <w:szCs w:val="21"/>
        </w:rPr>
        <w:t>乙方应赔偿</w:t>
      </w:r>
      <w:r>
        <w:rPr>
          <w:rFonts w:hint="eastAsia" w:asciiTheme="minorEastAsia" w:hAnsiTheme="minorEastAsia" w:eastAsiaTheme="minorEastAsia"/>
          <w:szCs w:val="21"/>
        </w:rPr>
        <w:t>甲方</w:t>
      </w:r>
      <w:r>
        <w:rPr>
          <w:rFonts w:asciiTheme="minorEastAsia" w:hAnsiTheme="minorEastAsia" w:eastAsiaTheme="minorEastAsia"/>
          <w:szCs w:val="21"/>
        </w:rPr>
        <w:t>所有损失。</w:t>
      </w:r>
    </w:p>
    <w:p>
      <w:pPr>
        <w:keepNext w:val="0"/>
        <w:keepLines w:val="0"/>
        <w:pageBreakBefore w:val="0"/>
        <w:kinsoku/>
        <w:wordWrap/>
        <w:overflowPunct/>
        <w:topLinePunct w:val="0"/>
        <w:autoSpaceDE/>
        <w:autoSpaceDN/>
        <w:bidi w:val="0"/>
        <w:adjustRightInd w:val="0"/>
        <w:snapToGrid w:val="0"/>
        <w:spacing w:line="360" w:lineRule="exact"/>
        <w:textAlignment w:val="auto"/>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甲方</w:t>
      </w:r>
      <w:r>
        <w:rPr>
          <w:rFonts w:asciiTheme="minorEastAsia" w:hAnsiTheme="minorEastAsia" w:eastAsiaTheme="minorEastAsia"/>
          <w:szCs w:val="21"/>
        </w:rPr>
        <w:t>因主张上述权利</w:t>
      </w:r>
      <w:r>
        <w:rPr>
          <w:rFonts w:hint="eastAsia" w:asciiTheme="minorEastAsia" w:hAnsiTheme="minorEastAsia" w:eastAsiaTheme="minorEastAsia"/>
          <w:szCs w:val="21"/>
        </w:rPr>
        <w:t>而</w:t>
      </w:r>
      <w:r>
        <w:rPr>
          <w:rFonts w:asciiTheme="minorEastAsia" w:hAnsiTheme="minorEastAsia" w:eastAsiaTheme="minorEastAsia"/>
          <w:szCs w:val="21"/>
        </w:rPr>
        <w:t>支出的所有合理费用，</w:t>
      </w:r>
      <w:r>
        <w:rPr>
          <w:rFonts w:hint="eastAsia" w:asciiTheme="minorEastAsia" w:hAnsiTheme="minorEastAsia" w:eastAsiaTheme="minorEastAsia"/>
          <w:szCs w:val="21"/>
        </w:rPr>
        <w:t>包括</w:t>
      </w:r>
      <w:r>
        <w:rPr>
          <w:rFonts w:asciiTheme="minorEastAsia" w:hAnsiTheme="minorEastAsia" w:eastAsiaTheme="minorEastAsia"/>
          <w:szCs w:val="21"/>
        </w:rPr>
        <w:t>但不限于律师费、</w:t>
      </w:r>
      <w:r>
        <w:rPr>
          <w:rFonts w:hint="eastAsia" w:asciiTheme="minorEastAsia" w:hAnsiTheme="minorEastAsia" w:eastAsiaTheme="minorEastAsia"/>
          <w:szCs w:val="21"/>
        </w:rPr>
        <w:t>诉讼费</w:t>
      </w:r>
      <w:r>
        <w:rPr>
          <w:rFonts w:asciiTheme="minorEastAsia" w:hAnsiTheme="minorEastAsia" w:eastAsiaTheme="minorEastAsia"/>
          <w:szCs w:val="21"/>
        </w:rPr>
        <w:t>、</w:t>
      </w:r>
      <w:r>
        <w:rPr>
          <w:rFonts w:hint="eastAsia" w:asciiTheme="minorEastAsia" w:hAnsiTheme="minorEastAsia" w:eastAsiaTheme="minorEastAsia"/>
          <w:szCs w:val="21"/>
        </w:rPr>
        <w:t>鉴定费</w:t>
      </w:r>
      <w:r>
        <w:rPr>
          <w:rFonts w:asciiTheme="minorEastAsia" w:hAnsiTheme="minorEastAsia" w:eastAsiaTheme="minorEastAsia"/>
          <w:szCs w:val="21"/>
        </w:rPr>
        <w:t>、</w:t>
      </w:r>
      <w:r>
        <w:rPr>
          <w:rFonts w:hint="eastAsia" w:asciiTheme="minorEastAsia" w:hAnsiTheme="minorEastAsia" w:eastAsiaTheme="minorEastAsia"/>
          <w:szCs w:val="21"/>
        </w:rPr>
        <w:t>差旅费</w:t>
      </w:r>
      <w:r>
        <w:rPr>
          <w:rFonts w:asciiTheme="minorEastAsia" w:hAnsiTheme="minorEastAsia" w:eastAsiaTheme="minorEastAsia"/>
          <w:szCs w:val="21"/>
        </w:rPr>
        <w:t>、</w:t>
      </w:r>
      <w:r>
        <w:rPr>
          <w:rFonts w:hint="eastAsia" w:asciiTheme="minorEastAsia" w:hAnsiTheme="minorEastAsia" w:eastAsiaTheme="minorEastAsia"/>
          <w:szCs w:val="21"/>
        </w:rPr>
        <w:t>保函</w:t>
      </w:r>
      <w:r>
        <w:rPr>
          <w:rFonts w:asciiTheme="minorEastAsia" w:hAnsiTheme="minorEastAsia" w:eastAsiaTheme="minorEastAsia"/>
          <w:szCs w:val="21"/>
        </w:rPr>
        <w:t>费等，</w:t>
      </w:r>
      <w:r>
        <w:rPr>
          <w:rFonts w:hint="eastAsia" w:asciiTheme="minorEastAsia" w:hAnsiTheme="minorEastAsia" w:eastAsiaTheme="minorEastAsia"/>
          <w:szCs w:val="21"/>
        </w:rPr>
        <w:t>均由</w:t>
      </w:r>
      <w:r>
        <w:rPr>
          <w:rFonts w:asciiTheme="minorEastAsia" w:hAnsiTheme="minorEastAsia" w:eastAsiaTheme="minorEastAsia"/>
          <w:szCs w:val="21"/>
        </w:rPr>
        <w:t>乙方承担。</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Theme="minorEastAsia" w:hAnsiTheme="minorEastAsia" w:eastAsiaTheme="minorEastAsia"/>
          <w:b/>
          <w:szCs w:val="21"/>
        </w:rPr>
      </w:pPr>
      <w:r>
        <w:rPr>
          <w:rFonts w:hint="eastAsia" w:asciiTheme="minorEastAsia" w:hAnsiTheme="minorEastAsia" w:eastAsiaTheme="minorEastAsia"/>
          <w:b/>
          <w:szCs w:val="21"/>
        </w:rPr>
        <w:t>第十六条 争议的解决</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因货物的质量问题发生争议的，应当邀请国家认可的质量检测机构对货物质量进行鉴定。货物符合标准的，鉴定费由甲方承担；货物不符合质量标准的，鉴定费由乙方承担。</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因履行本合同引起的或与本合同有关的争议，甲、乙双方应首先通过友好协商解决，如果协商不能解决争议，则采取以下第（ ）种方式解决争议：</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（1）向甲方所在地人民法院提起诉讼；</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（2）向甲方所在地仲裁委员会按其仲裁规则申请仲裁。</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如没有约定，默认采取第2种方式解决争议。</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在法院审理和仲裁期间，除有争议部分外，本合同其他部分应继续履行。</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Theme="minorEastAsia" w:hAnsiTheme="minorEastAsia" w:eastAsiaTheme="minorEastAsia"/>
          <w:b/>
          <w:szCs w:val="21"/>
        </w:rPr>
      </w:pPr>
      <w:r>
        <w:rPr>
          <w:rFonts w:hint="eastAsia" w:asciiTheme="minorEastAsia" w:hAnsiTheme="minorEastAsia" w:eastAsiaTheme="minorEastAsia"/>
          <w:b/>
          <w:szCs w:val="21"/>
        </w:rPr>
        <w:t xml:space="preserve">第十七条 诚实信用 </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hint="eastAsia" w:asciiTheme="minorEastAsia" w:hAnsiTheme="minorEastAsia" w:eastAsiaTheme="minorEastAsia"/>
          <w:szCs w:val="21"/>
        </w:rPr>
        <w:t>乙方应诚实信用，严格按照竞争性谈判文件要求和投标承诺履行合同，不向甲方进行商业贿赂或者提供不正当利益。</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Theme="minorEastAsia" w:hAnsiTheme="minorEastAsia" w:eastAsiaTheme="minorEastAsia"/>
          <w:b/>
          <w:szCs w:val="21"/>
        </w:rPr>
      </w:pPr>
      <w:r>
        <w:rPr>
          <w:rFonts w:hint="eastAsia" w:asciiTheme="minorEastAsia" w:hAnsiTheme="minorEastAsia" w:eastAsiaTheme="minorEastAsia"/>
          <w:b/>
          <w:szCs w:val="21"/>
        </w:rPr>
        <w:t>第十八条 合同生效及其他</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本合同自经甲乙双方授权代表签订并加盖公章后，自签订之日起生效。见证方仅对甲乙双方签订合同的事实进行见证，不代表任何承诺或保证，该合同的履行等相关情况均与见证方无任何关系。</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本合同一式伍份，甲乙双方各执贰份，代理机构执壹份存档。</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cs="宋体" w:asciiTheme="minorEastAsia" w:hAnsiTheme="minorEastAsia" w:eastAsiaTheme="minorEastAsia"/>
          <w:color w:val="000000"/>
          <w:szCs w:val="21"/>
        </w:rPr>
      </w:pPr>
      <w:r>
        <w:rPr>
          <w:rFonts w:asciiTheme="minorEastAsia" w:hAnsiTheme="minorEastAsia" w:eastAsiaTheme="minorEastAsia"/>
          <w:szCs w:val="21"/>
        </w:rPr>
        <w:t>3.</w:t>
      </w:r>
      <w:r>
        <w:rPr>
          <w:rFonts w:hint="eastAsia" w:asciiTheme="minorEastAsia" w:hAnsiTheme="minorEastAsia" w:eastAsiaTheme="minorEastAsia"/>
          <w:szCs w:val="21"/>
        </w:rPr>
        <w:t>本合同应按照中华人民共和国的现行法律进行解释。</w:t>
      </w:r>
    </w:p>
    <w:p>
      <w:pPr>
        <w:spacing w:line="400" w:lineRule="exact"/>
        <w:ind w:firstLine="420"/>
        <w:rPr>
          <w:rFonts w:ascii="宋体" w:hAnsi="宋体" w:cs="宋体"/>
          <w:color w:val="000000"/>
          <w:szCs w:val="21"/>
        </w:rPr>
      </w:pPr>
    </w:p>
    <w:p>
      <w:pPr>
        <w:spacing w:line="400" w:lineRule="exact"/>
        <w:rPr>
          <w:rFonts w:ascii="宋体" w:hAnsi="宋体" w:cs="宋体"/>
          <w:color w:val="000000"/>
          <w:szCs w:val="21"/>
        </w:rPr>
      </w:pPr>
    </w:p>
    <w:p>
      <w:pPr>
        <w:spacing w:line="400" w:lineRule="exact"/>
        <w:jc w:val="left"/>
        <w:rPr>
          <w:rFonts w:ascii="宋体" w:hAnsi="宋体" w:cs="宋体"/>
          <w:b/>
          <w:bCs/>
          <w:color w:val="000000"/>
          <w:szCs w:val="21"/>
        </w:rPr>
      </w:pPr>
    </w:p>
    <w:p>
      <w:pPr>
        <w:spacing w:line="400" w:lineRule="exact"/>
        <w:jc w:val="left"/>
        <w:rPr>
          <w:rFonts w:ascii="宋体" w:hAnsi="宋体" w:cs="宋体"/>
          <w:color w:val="000000"/>
          <w:szCs w:val="21"/>
        </w:rPr>
      </w:pPr>
      <w:r>
        <w:rPr>
          <w:rFonts w:hint="eastAsia" w:ascii="宋体" w:hAnsi="宋体" w:cs="宋体"/>
          <w:b/>
          <w:bCs/>
          <w:color w:val="000000"/>
          <w:szCs w:val="21"/>
        </w:rPr>
        <w:t>甲    方</w:t>
      </w:r>
      <w:r>
        <w:rPr>
          <w:rFonts w:hint="eastAsia" w:ascii="宋体" w:hAnsi="宋体" w:cs="宋体"/>
          <w:color w:val="000000"/>
          <w:szCs w:val="21"/>
        </w:rPr>
        <w:t xml:space="preserve">：                               </w:t>
      </w:r>
      <w:r>
        <w:rPr>
          <w:rFonts w:hint="eastAsia" w:ascii="宋体" w:hAnsi="宋体" w:cs="宋体"/>
          <w:b/>
          <w:bCs/>
          <w:color w:val="000000"/>
          <w:szCs w:val="21"/>
        </w:rPr>
        <w:t>乙    方</w:t>
      </w:r>
      <w:r>
        <w:rPr>
          <w:rFonts w:hint="eastAsia" w:ascii="宋体" w:hAnsi="宋体" w:cs="宋体"/>
          <w:color w:val="000000"/>
          <w:szCs w:val="21"/>
        </w:rPr>
        <w:t>：</w:t>
      </w:r>
    </w:p>
    <w:p>
      <w:pPr>
        <w:spacing w:line="400" w:lineRule="exact"/>
        <w:rPr>
          <w:rFonts w:ascii="宋体" w:hAnsi="宋体" w:cs="宋体"/>
          <w:color w:val="000000"/>
          <w:szCs w:val="21"/>
          <w:u w:val="single"/>
        </w:rPr>
      </w:pPr>
      <w:r>
        <w:rPr>
          <w:rFonts w:hint="eastAsia" w:ascii="宋体" w:hAnsi="宋体" w:cs="宋体"/>
          <w:color w:val="000000"/>
          <w:szCs w:val="21"/>
        </w:rPr>
        <w:t xml:space="preserve">单位名称（章）：    </w:t>
      </w:r>
      <w:r>
        <w:rPr>
          <w:rFonts w:ascii="宋体" w:hAnsi="宋体" w:cs="宋体"/>
          <w:color w:val="000000"/>
          <w:szCs w:val="21"/>
        </w:rPr>
        <w:t xml:space="preserve">                 </w:t>
      </w:r>
      <w:r>
        <w:rPr>
          <w:rFonts w:hint="eastAsia" w:ascii="宋体" w:hAnsi="宋体" w:cs="宋体"/>
          <w:color w:val="000000"/>
          <w:szCs w:val="21"/>
        </w:rPr>
        <w:t xml:space="preserve">     单位名称（章）：</w:t>
      </w:r>
    </w:p>
    <w:p>
      <w:pPr>
        <w:spacing w:line="400" w:lineRule="exact"/>
        <w:rPr>
          <w:rFonts w:ascii="宋体" w:hAnsi="宋体" w:cs="宋体"/>
          <w:color w:val="000000"/>
          <w:szCs w:val="21"/>
          <w:u w:val="single"/>
        </w:rPr>
      </w:pPr>
      <w:r>
        <w:rPr>
          <w:rFonts w:hint="eastAsia" w:ascii="宋体" w:hAnsi="宋体" w:cs="宋体"/>
          <w:color w:val="000000"/>
          <w:szCs w:val="21"/>
        </w:rPr>
        <w:t xml:space="preserve">单位地址：         </w:t>
      </w:r>
      <w:r>
        <w:rPr>
          <w:rFonts w:ascii="宋体" w:hAnsi="宋体" w:cs="宋体"/>
          <w:color w:val="000000"/>
          <w:szCs w:val="21"/>
        </w:rPr>
        <w:t xml:space="preserve">                      </w:t>
      </w:r>
      <w:r>
        <w:rPr>
          <w:rFonts w:hint="eastAsia" w:ascii="宋体" w:hAnsi="宋体" w:cs="宋体"/>
          <w:color w:val="000000"/>
          <w:szCs w:val="21"/>
        </w:rPr>
        <w:t>单位地址：</w:t>
      </w:r>
    </w:p>
    <w:p>
      <w:pPr>
        <w:spacing w:line="400" w:lineRule="exact"/>
        <w:rPr>
          <w:rFonts w:ascii="宋体" w:hAnsi="宋体" w:cs="宋体"/>
          <w:color w:val="000000"/>
          <w:szCs w:val="21"/>
        </w:rPr>
      </w:pPr>
      <w:r>
        <w:rPr>
          <w:rFonts w:hint="eastAsia" w:ascii="宋体" w:hAnsi="宋体" w:cs="宋体"/>
          <w:color w:val="000000"/>
          <w:szCs w:val="21"/>
        </w:rPr>
        <w:t xml:space="preserve">法定代表人：       委托代理人：          法定代表人：     委托代理人：                            </w:t>
      </w:r>
    </w:p>
    <w:p>
      <w:pPr>
        <w:spacing w:line="400" w:lineRule="exact"/>
        <w:rPr>
          <w:rFonts w:ascii="宋体" w:hAnsi="宋体" w:cs="宋体"/>
          <w:color w:val="000000"/>
          <w:szCs w:val="21"/>
        </w:rPr>
      </w:pPr>
      <w:r>
        <w:rPr>
          <w:rFonts w:hint="eastAsia" w:ascii="宋体" w:hAnsi="宋体" w:cs="宋体"/>
          <w:color w:val="000000"/>
          <w:szCs w:val="21"/>
        </w:rPr>
        <w:t>电话：                                   电话：            传真：</w:t>
      </w:r>
    </w:p>
    <w:p>
      <w:pPr>
        <w:spacing w:line="400" w:lineRule="exact"/>
        <w:rPr>
          <w:rFonts w:ascii="宋体" w:hAnsi="宋体" w:cs="宋体"/>
          <w:color w:val="000000"/>
          <w:szCs w:val="21"/>
        </w:rPr>
      </w:pPr>
      <w:r>
        <w:rPr>
          <w:rFonts w:hint="eastAsia" w:ascii="宋体" w:hAnsi="宋体" w:cs="宋体"/>
          <w:color w:val="000000"/>
          <w:szCs w:val="21"/>
        </w:rPr>
        <w:t xml:space="preserve">传真：                                   开户银行：        账号：                                                                                 </w:t>
      </w:r>
    </w:p>
    <w:p>
      <w:pPr>
        <w:spacing w:line="400" w:lineRule="exact"/>
        <w:rPr>
          <w:rFonts w:ascii="宋体" w:hAnsi="宋体" w:cs="宋体"/>
          <w:b/>
          <w:bCs/>
          <w:color w:val="000000"/>
          <w:szCs w:val="21"/>
        </w:rPr>
      </w:pPr>
    </w:p>
    <w:p>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pPr>
        <w:spacing w:line="400" w:lineRule="exact"/>
        <w:rPr>
          <w:rFonts w:ascii="宋体" w:hAnsi="宋体" w:cs="宋体"/>
          <w:color w:val="000000"/>
          <w:szCs w:val="21"/>
        </w:rPr>
      </w:pPr>
      <w:r>
        <w:rPr>
          <w:rFonts w:hint="eastAsia" w:ascii="宋体" w:hAnsi="宋体" w:cs="宋体"/>
          <w:color w:val="000000"/>
          <w:szCs w:val="21"/>
        </w:rPr>
        <w:t xml:space="preserve">                 </w:t>
      </w:r>
    </w:p>
    <w:p>
      <w:pPr>
        <w:spacing w:line="400" w:lineRule="exact"/>
        <w:rPr>
          <w:rFonts w:asciiTheme="minorEastAsia" w:hAnsiTheme="minorEastAsia" w:eastAsiaTheme="minorEastAsia" w:cstheme="minorEastAsia"/>
          <w:szCs w:val="21"/>
        </w:rPr>
      </w:pPr>
      <w:r>
        <w:rPr>
          <w:rFonts w:hint="eastAsia" w:ascii="宋体" w:hAnsi="宋体" w:cs="宋体"/>
          <w:color w:val="000000"/>
          <w:szCs w:val="21"/>
        </w:rPr>
        <w:t>经办人：                               电  话：</w:t>
      </w:r>
    </w:p>
    <w:p>
      <w:pPr>
        <w:jc w:val="center"/>
        <w:rPr>
          <w:rFonts w:ascii="宋体" w:hAnsi="宋体" w:cs="宋体"/>
          <w:b/>
          <w:sz w:val="30"/>
          <w:szCs w:val="30"/>
        </w:rPr>
      </w:pPr>
    </w:p>
    <w:p>
      <w:pPr>
        <w:pStyle w:val="6"/>
        <w:spacing w:line="360" w:lineRule="auto"/>
        <w:rPr>
          <w:b/>
          <w:sz w:val="21"/>
          <w:szCs w:val="21"/>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r>
        <w:rPr>
          <w:rFonts w:ascii="宋体" w:hAnsi="宋体" w:cs="宋体"/>
          <w:b/>
          <w:sz w:val="30"/>
          <w:szCs w:val="30"/>
        </w:rPr>
        <w:br w:type="page"/>
      </w:r>
    </w:p>
    <w:p>
      <w:pPr>
        <w:pStyle w:val="3"/>
        <w:keepLines w:val="0"/>
        <w:pageBreakBefore w:val="0"/>
        <w:kinsoku/>
        <w:wordWrap/>
        <w:overflowPunct/>
        <w:topLinePunct w:val="0"/>
        <w:autoSpaceDE/>
        <w:autoSpaceDN/>
        <w:bidi w:val="0"/>
        <w:adjustRightInd w:val="0"/>
        <w:snapToGrid w:val="0"/>
        <w:spacing w:line="480" w:lineRule="auto"/>
        <w:textAlignment w:val="auto"/>
        <w:rPr>
          <w:rFonts w:ascii="宋体" w:hAnsi="宋体"/>
          <w:szCs w:val="21"/>
        </w:rPr>
      </w:pPr>
      <w:bookmarkStart w:id="5" w:name="_Toc17536928"/>
      <w:r>
        <w:rPr>
          <w:rFonts w:hint="eastAsia"/>
        </w:rPr>
        <w:t>第四章  评审细则</w:t>
      </w:r>
      <w:bookmarkEnd w:id="5"/>
    </w:p>
    <w:p>
      <w:pPr>
        <w:keepLines w:val="0"/>
        <w:pageBreakBefore w:val="0"/>
        <w:kinsoku/>
        <w:wordWrap/>
        <w:overflowPunct/>
        <w:topLinePunct w:val="0"/>
        <w:autoSpaceDE/>
        <w:autoSpaceDN/>
        <w:bidi w:val="0"/>
        <w:adjustRightInd w:val="0"/>
        <w:snapToGrid w:val="0"/>
        <w:spacing w:line="480" w:lineRule="auto"/>
        <w:ind w:firstLine="411" w:firstLineChars="196"/>
        <w:textAlignment w:val="auto"/>
        <w:rPr>
          <w:rFonts w:ascii="宋体" w:hAnsi="宋体"/>
          <w:szCs w:val="21"/>
        </w:rPr>
      </w:pPr>
      <w:r>
        <w:rPr>
          <w:rFonts w:hint="eastAsia" w:ascii="宋体" w:hAnsi="宋体"/>
          <w:szCs w:val="21"/>
        </w:rPr>
        <w:t>一</w:t>
      </w:r>
      <w:r>
        <w:rPr>
          <w:rFonts w:ascii="宋体" w:hAnsi="宋体"/>
          <w:szCs w:val="21"/>
        </w:rPr>
        <w:t>、</w:t>
      </w:r>
      <w:r>
        <w:rPr>
          <w:rFonts w:hint="eastAsia" w:ascii="宋体" w:hAnsi="宋体"/>
          <w:szCs w:val="21"/>
        </w:rPr>
        <w:t>本项目采用最低评标价法，谈判响应文件满足竞争性谈判文件全部实质性要求且最终报价最低的供应商为成交供应商。</w:t>
      </w:r>
    </w:p>
    <w:p>
      <w:pPr>
        <w:keepLines w:val="0"/>
        <w:pageBreakBefore w:val="0"/>
        <w:kinsoku/>
        <w:wordWrap/>
        <w:overflowPunct/>
        <w:topLinePunct w:val="0"/>
        <w:autoSpaceDE/>
        <w:autoSpaceDN/>
        <w:bidi w:val="0"/>
        <w:adjustRightInd w:val="0"/>
        <w:snapToGrid w:val="0"/>
        <w:spacing w:line="480" w:lineRule="auto"/>
        <w:ind w:firstLine="390" w:firstLineChars="196"/>
        <w:textAlignment w:val="auto"/>
      </w:pPr>
      <w:r>
        <w:rPr>
          <w:rFonts w:hint="eastAsia" w:ascii="宋体" w:hAnsi="宋体"/>
          <w:b/>
          <w:spacing w:val="-6"/>
          <w:szCs w:val="21"/>
        </w:rPr>
        <w:t>二</w:t>
      </w:r>
      <w:r>
        <w:rPr>
          <w:rFonts w:ascii="宋体" w:hAnsi="宋体"/>
          <w:b/>
          <w:spacing w:val="-6"/>
          <w:szCs w:val="21"/>
        </w:rPr>
        <w:t>、</w:t>
      </w:r>
      <w:r>
        <w:rPr>
          <w:rFonts w:hint="eastAsia"/>
        </w:rPr>
        <w:t>报价在采购预算价格以下的，为有效报价。超出此范围的报价为无效报价。无效报价的响应文件不进行评审，也不得成交。</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r>
        <w:rPr>
          <w:rFonts w:ascii="宋体" w:hAnsi="宋体" w:cs="宋体"/>
          <w:b/>
          <w:sz w:val="30"/>
          <w:szCs w:val="30"/>
        </w:rPr>
        <w:br w:type="page"/>
      </w:r>
    </w:p>
    <w:p>
      <w:pPr>
        <w:pStyle w:val="3"/>
      </w:pPr>
      <w:bookmarkStart w:id="6" w:name="_Toc17536929"/>
      <w:r>
        <w:rPr>
          <w:rFonts w:hint="eastAsia"/>
        </w:rPr>
        <w:t>第五章  谈判响应文件的组成</w:t>
      </w:r>
      <w:bookmarkEnd w:id="6"/>
    </w:p>
    <w:p>
      <w:pPr>
        <w:keepNext w:val="0"/>
        <w:keepLines w:val="0"/>
        <w:pageBreakBefore w:val="0"/>
        <w:widowControl w:val="0"/>
        <w:kinsoku/>
        <w:wordWrap/>
        <w:overflowPunct/>
        <w:topLinePunct w:val="0"/>
        <w:autoSpaceDE/>
        <w:autoSpaceDN/>
        <w:bidi w:val="0"/>
        <w:adjustRightInd w:val="0"/>
        <w:snapToGrid w:val="0"/>
        <w:spacing w:line="360" w:lineRule="exact"/>
        <w:ind w:firstLine="424" w:firstLineChars="201"/>
        <w:textAlignment w:val="auto"/>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证明供应商符合资格要求的证明材料包括但不限于以下材料（谈判响应文件中提供复印件并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将原件或公证件携带至谈判</w:t>
      </w:r>
      <w:r>
        <w:rPr>
          <w:rFonts w:ascii="宋体" w:hAnsi="宋体"/>
          <w:b/>
          <w:bCs/>
          <w:szCs w:val="21"/>
        </w:rPr>
        <w:t>现场备查</w:t>
      </w:r>
      <w:r>
        <w:rPr>
          <w:rFonts w:hint="eastAsia" w:ascii="宋体" w:hAnsi="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ascii="宋体" w:hAnsi="宋体" w:cs="宋体"/>
          <w:szCs w:val="21"/>
        </w:rPr>
      </w:pPr>
      <w:r>
        <w:rPr>
          <w:rFonts w:hint="eastAsia" w:ascii="宋体" w:hAnsi="宋体" w:cs="宋体"/>
          <w:szCs w:val="21"/>
        </w:rPr>
        <w:t>*1.谈判响应函</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.授权委托书、代理人身份证复印件（双面）、供应商近三个月（自谈判之日起往前推）为其缴纳社保的记录（如果有授权委托情况的，必须提供）</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.谈判保证金单据</w:t>
      </w:r>
    </w:p>
    <w:p>
      <w:pPr>
        <w:keepNext w:val="0"/>
        <w:keepLines w:val="0"/>
        <w:pageBreakBefore w:val="0"/>
        <w:widowControl w:val="0"/>
        <w:kinsoku/>
        <w:wordWrap/>
        <w:overflowPunct/>
        <w:topLinePunct w:val="0"/>
        <w:autoSpaceDE/>
        <w:autoSpaceDN/>
        <w:bidi w:val="0"/>
        <w:adjustRightInd w:val="0"/>
        <w:snapToGrid w:val="0"/>
        <w:spacing w:line="360" w:lineRule="exact"/>
        <w:ind w:firstLine="424" w:firstLineChars="201"/>
        <w:textAlignment w:val="auto"/>
        <w:rPr>
          <w:rFonts w:ascii="宋体" w:hAnsi="宋体" w:cs="宋体"/>
          <w:b/>
          <w:szCs w:val="21"/>
        </w:rPr>
      </w:pPr>
      <w:r>
        <w:rPr>
          <w:rFonts w:hint="eastAsia" w:ascii="宋体" w:hAnsi="宋体" w:cs="宋体"/>
          <w:b/>
          <w:szCs w:val="21"/>
        </w:rPr>
        <w:t>二、价格及有关商务部分材料</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ascii="宋体" w:hAnsi="宋体" w:cs="宋体"/>
          <w:szCs w:val="21"/>
        </w:rPr>
      </w:pPr>
      <w:r>
        <w:rPr>
          <w:rFonts w:hint="eastAsia" w:ascii="宋体" w:hAnsi="宋体" w:cs="宋体"/>
          <w:szCs w:val="21"/>
        </w:rPr>
        <w:t>*1.报价一览表</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ascii="宋体" w:hAnsi="宋体" w:cs="宋体"/>
          <w:szCs w:val="21"/>
        </w:rPr>
      </w:pPr>
      <w:r>
        <w:rPr>
          <w:rFonts w:ascii="宋体" w:hAnsi="宋体" w:cs="宋体"/>
          <w:szCs w:val="21"/>
        </w:rPr>
        <w:t>*</w:t>
      </w:r>
      <w:r>
        <w:rPr>
          <w:rFonts w:hint="eastAsia" w:ascii="宋体" w:hAnsi="宋体" w:cs="宋体"/>
          <w:szCs w:val="21"/>
        </w:rPr>
        <w:t>2.谈判分项</w:t>
      </w:r>
      <w:r>
        <w:rPr>
          <w:rFonts w:ascii="宋体" w:hAnsi="宋体" w:cs="宋体"/>
          <w:szCs w:val="21"/>
        </w:rPr>
        <w:t>报价表</w:t>
      </w:r>
    </w:p>
    <w:p>
      <w:pPr>
        <w:keepNext w:val="0"/>
        <w:keepLines w:val="0"/>
        <w:pageBreakBefore w:val="0"/>
        <w:widowControl w:val="0"/>
        <w:kinsoku/>
        <w:wordWrap/>
        <w:overflowPunct/>
        <w:topLinePunct w:val="0"/>
        <w:autoSpaceDE/>
        <w:autoSpaceDN/>
        <w:bidi w:val="0"/>
        <w:adjustRightInd w:val="0"/>
        <w:snapToGrid w:val="0"/>
        <w:spacing w:line="360" w:lineRule="exact"/>
        <w:ind w:firstLine="424" w:firstLineChars="201"/>
        <w:textAlignment w:val="auto"/>
        <w:rPr>
          <w:rFonts w:ascii="宋体" w:hAnsi="宋体" w:cs="宋体"/>
          <w:b/>
          <w:szCs w:val="21"/>
        </w:rPr>
      </w:pPr>
      <w:r>
        <w:rPr>
          <w:rFonts w:hint="eastAsia" w:ascii="宋体" w:hAnsi="宋体" w:cs="宋体"/>
          <w:b/>
          <w:szCs w:val="21"/>
        </w:rPr>
        <w:t>三、技术部分材料</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.供应商简介</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.提供所供产品技术资料</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.质保及售后服务承诺</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.偏离表</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ascii="宋体" w:hAnsi="宋体" w:cs="宋体"/>
          <w:szCs w:val="21"/>
        </w:rPr>
      </w:pPr>
      <w:r>
        <w:rPr>
          <w:rFonts w:ascii="宋体" w:hAnsi="宋体" w:cs="宋体"/>
          <w:color w:val="000000"/>
          <w:szCs w:val="21"/>
        </w:rPr>
        <w:t>5</w:t>
      </w:r>
      <w:r>
        <w:rPr>
          <w:rFonts w:hint="eastAsia" w:ascii="宋体" w:hAnsi="宋体" w:cs="宋体"/>
          <w:color w:val="000000"/>
          <w:szCs w:val="21"/>
        </w:rPr>
        <w:t>.其他评审相关资料</w:t>
      </w:r>
    </w:p>
    <w:p>
      <w:pPr>
        <w:keepNext w:val="0"/>
        <w:keepLines w:val="0"/>
        <w:pageBreakBefore w:val="0"/>
        <w:widowControl w:val="0"/>
        <w:kinsoku/>
        <w:wordWrap/>
        <w:overflowPunct/>
        <w:topLinePunct w:val="0"/>
        <w:autoSpaceDE/>
        <w:autoSpaceDN/>
        <w:bidi w:val="0"/>
        <w:adjustRightInd w:val="0"/>
        <w:snapToGrid w:val="0"/>
        <w:spacing w:line="360" w:lineRule="exact"/>
        <w:ind w:firstLine="424" w:firstLineChars="201"/>
        <w:textAlignment w:val="auto"/>
        <w:rPr>
          <w:rFonts w:ascii="宋体" w:hAnsi="宋体" w:cs="宋体"/>
          <w:b/>
          <w:bCs/>
          <w:szCs w:val="21"/>
        </w:rPr>
      </w:pPr>
      <w:r>
        <w:rPr>
          <w:rFonts w:hint="eastAsia" w:ascii="宋体" w:hAnsi="宋体" w:cs="宋体"/>
          <w:b/>
          <w:bCs/>
          <w:szCs w:val="21"/>
        </w:rPr>
        <w:t>四、说明</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ascii="宋体" w:hAnsi="宋体"/>
          <w:b/>
          <w:bCs/>
          <w:szCs w:val="21"/>
        </w:rPr>
      </w:pPr>
      <w:r>
        <w:rPr>
          <w:rFonts w:hint="eastAsia" w:ascii="宋体" w:hAnsi="宋体" w:cs="宋体"/>
          <w:szCs w:val="21"/>
        </w:rPr>
        <w:t>1.上述带“*”条款供应商必须在谈判响应文件中提供，否则将作为无效响应处理。</w:t>
      </w:r>
      <w:r>
        <w:rPr>
          <w:rFonts w:hint="eastAsia" w:ascii="宋体" w:hAnsi="宋体"/>
          <w:b/>
          <w:bCs/>
          <w:szCs w:val="21"/>
        </w:rPr>
        <w:t>所有项目若有缺失或无效将可能导致无效响应且不允许在谈判响应</w:t>
      </w:r>
      <w:r>
        <w:rPr>
          <w:rFonts w:ascii="宋体" w:hAnsi="宋体"/>
          <w:b/>
          <w:bCs/>
          <w:szCs w:val="21"/>
        </w:rPr>
        <w:t>文件提交</w:t>
      </w:r>
      <w:r>
        <w:rPr>
          <w:rFonts w:hint="eastAsia" w:ascii="宋体" w:hAnsi="宋体"/>
          <w:b/>
          <w:bCs/>
          <w:szCs w:val="21"/>
        </w:rPr>
        <w:t>截止后补正。</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ascii="宋体" w:hAnsi="宋体" w:cs="宋体"/>
          <w:szCs w:val="21"/>
        </w:rPr>
      </w:pPr>
      <w:r>
        <w:rPr>
          <w:rFonts w:ascii="宋体" w:hAnsi="宋体" w:cs="宋体"/>
          <w:szCs w:val="21"/>
        </w:rPr>
        <w:t>2</w:t>
      </w:r>
      <w:r>
        <w:rPr>
          <w:rFonts w:hint="eastAsia" w:ascii="宋体" w:hAnsi="宋体" w:cs="宋体"/>
          <w:szCs w:val="21"/>
        </w:rPr>
        <w:t>.对本章所有的格式 ，供应商可根据自身情况进行补充和修改，但补充和修改不得造成与本格式内容有实质性的违背。供应商可提供其它相关的证明材料（不限于此）。</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ascii="宋体" w:hAnsi="宋体" w:cs="宋体"/>
          <w:b/>
          <w:szCs w:val="21"/>
        </w:rPr>
      </w:pPr>
      <w:r>
        <w:rPr>
          <w:rFonts w:ascii="宋体" w:hAnsi="宋体" w:cs="宋体"/>
          <w:szCs w:val="21"/>
        </w:rPr>
        <w:t>3</w:t>
      </w:r>
      <w:r>
        <w:rPr>
          <w:rFonts w:hint="eastAsia" w:ascii="宋体" w:hAnsi="宋体" w:cs="宋体"/>
          <w:szCs w:val="21"/>
        </w:rPr>
        <w:t>.谈判响应文件需按本章要求进行编制。</w:t>
      </w:r>
    </w:p>
    <w:p>
      <w:pPr>
        <w:spacing w:line="360" w:lineRule="exact"/>
        <w:rPr>
          <w:rFonts w:ascii="宋体" w:hAnsi="宋体" w:cs="宋体"/>
          <w:szCs w:val="21"/>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pStyle w:val="3"/>
      </w:pPr>
      <w:r>
        <w:br w:type="page"/>
      </w:r>
    </w:p>
    <w:p>
      <w:pPr>
        <w:pStyle w:val="3"/>
      </w:pPr>
      <w:bookmarkStart w:id="7" w:name="_Toc17536930"/>
      <w:r>
        <w:rPr>
          <w:rFonts w:hint="eastAsia"/>
        </w:rPr>
        <w:t>第六章  附    件</w:t>
      </w:r>
      <w:bookmarkEnd w:id="7"/>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尊敬的供应商及项目参与人：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一、欢迎供应商及项目参与人对代理机构工作人员进行监督。凡发现代理机构工作人员有以下情形的，均可以书面具名方式举报，请投送至本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（一）接受供应商组织的宴请、旅游、娱乐等活动；</w:t>
      </w:r>
    </w:p>
    <w:p>
      <w:pPr>
        <w:spacing w:line="360" w:lineRule="auto"/>
        <w:ind w:firstLine="420" w:firstLineChars="200"/>
        <w:rPr>
          <w:rFonts w:ascii="宋体" w:hAnsi="宋体"/>
          <w:szCs w:val="21"/>
        </w:rPr>
      </w:pPr>
      <w:r>
        <w:rPr>
          <w:rFonts w:hint="eastAsia" w:ascii="宋体" w:hAnsi="宋体"/>
          <w:szCs w:val="21"/>
        </w:rPr>
        <w:t>（二）与供应商或采购人恶意串通的；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（四）违规向关联参与人或供应商透露招投标或评审信息的；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二、供应商及项目参与人应当遵守采购活动工作规则，有下列情形之一的，将被列入不良行为纪录，建议有关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w:t>
      </w:r>
      <w:r>
        <w:rPr>
          <w:rFonts w:ascii="宋体" w:hAnsi="宋体"/>
          <w:szCs w:val="21"/>
        </w:rPr>
        <w:t>代理</w:t>
      </w:r>
      <w:r>
        <w:rPr>
          <w:rFonts w:hint="eastAsia" w:ascii="宋体" w:hAnsi="宋体"/>
          <w:szCs w:val="21"/>
        </w:rPr>
        <w:t>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8" w:name="OLE_LINK1"/>
      <w:r>
        <w:rPr>
          <w:rFonts w:hint="eastAsia" w:ascii="宋体" w:hAnsi="宋体"/>
          <w:szCs w:val="21"/>
        </w:rPr>
        <w:t>在采购活动实施过程中，有吵闹、起哄、斗殴等行为，扰乱谈判现场或评审现场秩序的，以及在谈判答疑、领取竞争性谈判文件、办理相关手续过程中扰乱正常办公秩序的；</w:t>
      </w:r>
    </w:p>
    <w:bookmarkEnd w:id="8"/>
    <w:p>
      <w:pPr>
        <w:spacing w:line="360" w:lineRule="auto"/>
        <w:ind w:firstLine="420" w:firstLineChars="200"/>
        <w:rPr>
          <w:rFonts w:ascii="宋体" w:hAnsi="宋体"/>
          <w:szCs w:val="21"/>
        </w:rPr>
      </w:pPr>
      <w:r>
        <w:rPr>
          <w:rFonts w:hint="eastAsia" w:ascii="宋体" w:hAnsi="宋体"/>
          <w:szCs w:val="21"/>
        </w:rPr>
        <w:t>（二）采取不正当手段诋毁、排挤其他供应商的；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（五）在招投采购过程中与采购人进行协商谈判的；</w:t>
      </w:r>
    </w:p>
    <w:p>
      <w:pPr>
        <w:spacing w:line="360" w:lineRule="auto"/>
        <w:ind w:firstLine="420" w:firstLineChars="200"/>
        <w:rPr>
          <w:rFonts w:ascii="宋体" w:hAnsi="宋体"/>
          <w:szCs w:val="21"/>
        </w:rPr>
      </w:pPr>
      <w:r>
        <w:rPr>
          <w:rFonts w:hint="eastAsia" w:ascii="宋体" w:hAnsi="宋体"/>
          <w:szCs w:val="21"/>
        </w:rPr>
        <w:t>（六）未按规定程序进行质疑、投诉，影响项目正常进行的。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w:t>
      </w:r>
      <w:r>
        <w:rPr>
          <w:rFonts w:cs="宋体"/>
          <w:b/>
          <w:sz w:val="28"/>
          <w:szCs w:val="28"/>
        </w:rPr>
        <w:t>.</w:t>
      </w:r>
      <w:r>
        <w:rPr>
          <w:rFonts w:hint="eastAsia" w:cs="宋体"/>
          <w:b/>
          <w:sz w:val="28"/>
          <w:szCs w:val="28"/>
        </w:rPr>
        <w:t>谈判响应函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谈判响应函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asciiTheme="minorEastAsia" w:hAnsiTheme="minorEastAsia" w:eastAsiaTheme="minorEastAsia" w:cstheme="minorEastAsia"/>
          <w:sz w:val="21"/>
          <w:szCs w:val="21"/>
        </w:rPr>
        <w:t>常州市武进区林南小学、</w:t>
      </w:r>
      <w:r>
        <w:rPr>
          <w:rFonts w:hint="eastAsia" w:cs="宋体" w:asciiTheme="minorEastAsia" w:hAnsiTheme="minorEastAsia" w:eastAsiaTheme="minorEastAsia"/>
          <w:sz w:val="21"/>
          <w:szCs w:val="21"/>
        </w:rPr>
        <w:t>常州市城投建设工程招标有限公司：</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号”竞争性谈判文件后，经仔细阅读和研究，我单位决定参加本项目的竞争性谈判</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1.</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遵守贵单位有关采购的各项规定，</w:t>
      </w:r>
      <w:r>
        <w:rPr>
          <w:rFonts w:hint="eastAsia" w:cs="宋体" w:asciiTheme="minorEastAsia" w:hAnsiTheme="minorEastAsia" w:eastAsiaTheme="minorEastAsia"/>
          <w:sz w:val="21"/>
          <w:szCs w:val="21"/>
        </w:rPr>
        <w:t>提供竞争性谈判文件中要求的所有资料，并保证完全真实准确，若有虚假和违背，我单位愿意承担由此而产生的一切后果。</w:t>
      </w:r>
    </w:p>
    <w:p>
      <w:pPr>
        <w:pStyle w:val="48"/>
        <w:spacing w:line="360" w:lineRule="exact"/>
        <w:ind w:firstLine="420"/>
        <w:jc w:val="left"/>
        <w:rPr>
          <w:rFonts w:cs="宋体" w:asciiTheme="minorEastAsia" w:hAnsiTheme="minorEastAsia" w:eastAsiaTheme="minorEastAsia"/>
          <w:sz w:val="21"/>
          <w:szCs w:val="21"/>
        </w:rPr>
      </w:pPr>
      <w:r>
        <w:rPr>
          <w:rFonts w:hint="eastAsia"/>
          <w:sz w:val="21"/>
          <w:szCs w:val="21"/>
        </w:rPr>
        <w:t>2.</w:t>
      </w:r>
      <w:r>
        <w:rPr>
          <w:rFonts w:hint="eastAsia" w:cs="宋体" w:asciiTheme="minorEastAsia" w:hAnsiTheme="minorEastAsia" w:eastAsiaTheme="minorEastAsia"/>
          <w:sz w:val="21"/>
          <w:szCs w:val="21"/>
        </w:rPr>
        <w:t>我单位</w:t>
      </w:r>
      <w:r>
        <w:rPr>
          <w:rFonts w:hint="eastAsia"/>
          <w:sz w:val="21"/>
          <w:szCs w:val="21"/>
        </w:rPr>
        <w:t>承诺财务状况良好，依法缴纳税收和社会保障资金，具备履行合同所必需的设备和专业技术能力，参加采购活动前3年内在经营活动中没有重大违法记录。</w:t>
      </w:r>
    </w:p>
    <w:p>
      <w:pPr>
        <w:adjustRightInd w:val="0"/>
        <w:snapToGrid w:val="0"/>
        <w:spacing w:line="360" w:lineRule="exact"/>
        <w:ind w:firstLine="422" w:firstLineChars="201"/>
        <w:rPr>
          <w:rFonts w:asciiTheme="minorEastAsia" w:hAnsiTheme="minorEastAsia" w:eastAsiaTheme="minorEastAsia"/>
          <w:szCs w:val="21"/>
        </w:rPr>
      </w:pPr>
      <w:r>
        <w:rPr>
          <w:rFonts w:hint="eastAsia" w:asciiTheme="minorEastAsia" w:hAnsiTheme="minorEastAsia" w:eastAsiaTheme="minorEastAsia"/>
          <w:szCs w:val="21"/>
        </w:rPr>
        <w:t>3.我单位承诺保证采购人在使用该货物或其任何一部分时不受第三方提出侵犯其专利权</w:t>
      </w:r>
      <w:r>
        <w:rPr>
          <w:rFonts w:hint="eastAsia"/>
          <w:shd w:val="clear" w:color="auto" w:fill="FFFFFF"/>
        </w:rPr>
        <w:t>、</w:t>
      </w:r>
      <w:r>
        <w:rPr>
          <w:shd w:val="clear" w:color="auto" w:fill="FFFFFF"/>
        </w:rPr>
        <w:t>著作</w:t>
      </w:r>
      <w:r>
        <w:rPr>
          <w:rFonts w:hint="eastAsia"/>
          <w:shd w:val="clear" w:color="auto" w:fill="FFFFFF"/>
        </w:rPr>
        <w:t>权、商标权等知识产权的起诉。</w:t>
      </w:r>
      <w:r>
        <w:rPr>
          <w:rFonts w:hint="eastAsia" w:asciiTheme="minorEastAsia" w:hAnsiTheme="minorEastAsia" w:eastAsiaTheme="minorEastAsia"/>
          <w:szCs w:val="21"/>
        </w:rPr>
        <w:t>一旦出现侵权、索赔或诉讼，我单位承担全部责任。</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4</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我单位承诺该谈判响应文件在谈判开始后的全过程中保持有效，不作任何更改和变动。并同意按竞争性谈判文件中的规定，本谈判响应文件的有效期限为谈判开始后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5.</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w:t>
      </w:r>
      <w:r>
        <w:rPr>
          <w:rFonts w:hint="eastAsia" w:cs="宋体" w:asciiTheme="minorEastAsia" w:hAnsiTheme="minorEastAsia" w:eastAsiaTheme="minorEastAsia"/>
          <w:sz w:val="21"/>
          <w:szCs w:val="21"/>
        </w:rPr>
        <w:t>竞争性谈判文件</w:t>
      </w:r>
      <w:r>
        <w:rPr>
          <w:rFonts w:hint="eastAsia" w:asciiTheme="minorEastAsia" w:hAnsiTheme="minorEastAsia" w:eastAsiaTheme="minorEastAsia"/>
          <w:sz w:val="21"/>
          <w:szCs w:val="21"/>
        </w:rPr>
        <w:t>规定的各项要求，向采购人提供所需货物与服务。谈判报价包括但不限于竞争性谈判文件及其准备（包括现场踏勘、技术核对等）、设备（包括备品备件、专用工具）、技术资料、设计、制造、检验、包装、发货、运输、装卸至现场指定地点、安装调试、技术指导培训、质保期及维保服务和竞争性谈判文件所要求的相关服务等全部内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6.我单位认为贵单位有权决定成交供应商，还认为贵单位有权接受或拒绝所有的供应商。</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7</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我单位愿意遵守竞争性谈判文件中所列的收费标准，按竞争性谈判文件的规定交纳谈判保证金；若我单位成交，我单位愿意在签订合同前支付履约保证金，并按竞争性谈判文件的规定支付成交服务费。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8.如果我单位的谈判响应文件被接受，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严格履行竞争性谈判文件中规定的每一项要求，按期、按质、按量履行合同的义务。</w:t>
      </w:r>
    </w:p>
    <w:p>
      <w:pPr>
        <w:pStyle w:val="48"/>
        <w:spacing w:line="360" w:lineRule="exact"/>
        <w:ind w:firstLine="405"/>
        <w:rPr>
          <w:rFonts w:cs="宋体"/>
          <w:sz w:val="21"/>
          <w:szCs w:val="21"/>
        </w:rPr>
      </w:pPr>
      <w:r>
        <w:rPr>
          <w:rFonts w:hint="eastAsia" w:cs="宋体"/>
          <w:sz w:val="21"/>
          <w:szCs w:val="21"/>
        </w:rPr>
        <w:t>9.与本次谈判有关的正式通讯地址为：</w:t>
      </w:r>
    </w:p>
    <w:p>
      <w:pPr>
        <w:pStyle w:val="48"/>
        <w:spacing w:line="360" w:lineRule="exact"/>
        <w:jc w:val="left"/>
        <w:rPr>
          <w:rFonts w:cs="宋体"/>
          <w:sz w:val="21"/>
          <w:szCs w:val="21"/>
        </w:rPr>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供应商法定代表人或代理人（签字或盖章）：       </w:t>
      </w:r>
    </w:p>
    <w:p>
      <w:pPr>
        <w:pStyle w:val="48"/>
        <w:spacing w:line="360" w:lineRule="exact"/>
        <w:rPr>
          <w:rFonts w:cs="宋体"/>
          <w:sz w:val="21"/>
          <w:szCs w:val="21"/>
        </w:rPr>
      </w:pPr>
      <w:r>
        <w:rPr>
          <w:rFonts w:hint="eastAsia" w:cs="宋体"/>
          <w:sz w:val="21"/>
          <w:szCs w:val="21"/>
        </w:rPr>
        <w:t xml:space="preserve">供应商名称（公章）：             </w:t>
      </w:r>
    </w:p>
    <w:p>
      <w:pPr>
        <w:pStyle w:val="48"/>
        <w:spacing w:line="360" w:lineRule="exact"/>
        <w:rPr>
          <w:rFonts w:cs="宋体"/>
          <w:sz w:val="21"/>
          <w:szCs w:val="21"/>
        </w:rPr>
      </w:pPr>
      <w:r>
        <w:rPr>
          <w:rFonts w:hint="eastAsia" w:cs="宋体"/>
          <w:sz w:val="21"/>
          <w:szCs w:val="21"/>
        </w:rPr>
        <w:t>日    期：     年    月    日.</w:t>
      </w:r>
    </w:p>
    <w:p>
      <w:pPr>
        <w:pStyle w:val="18"/>
      </w:pPr>
    </w:p>
    <w:p/>
    <w:p/>
    <w:p/>
    <w:p>
      <w:pPr>
        <w:pStyle w:val="48"/>
        <w:spacing w:line="360" w:lineRule="exact"/>
        <w:rPr>
          <w:rFonts w:cs="宋体"/>
          <w:b/>
          <w:sz w:val="28"/>
          <w:szCs w:val="28"/>
        </w:rPr>
      </w:pP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的工作，签署上述项目的谈判响应文件、进行合同谈判、签署合同和处理与之有关的一切事务。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供应商：（公章）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谈判中我单位的合法代理人，全权负责参加本次项目的谈判、签订合约以及与之相关的各项工作。本供应商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供应商公章：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1、法定代表人参加谈判时，需携带本人身份证原件。</w:t>
      </w:r>
    </w:p>
    <w:p>
      <w:pPr>
        <w:rPr>
          <w:rFonts w:ascii="宋体" w:hAnsi="宋体" w:cs="宋体"/>
          <w:szCs w:val="21"/>
        </w:rPr>
      </w:pPr>
      <w:r>
        <w:rPr>
          <w:rFonts w:hint="eastAsia" w:ascii="宋体" w:hAnsi="宋体" w:cs="宋体"/>
          <w:szCs w:val="21"/>
        </w:rPr>
        <w:t>2、委托代理人参加谈判时，需携带授权委托书和本人身份证原件。</w:t>
      </w: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4.报价一览表</w:t>
      </w:r>
    </w:p>
    <w:p>
      <w:pPr>
        <w:jc w:val="center"/>
        <w:rPr>
          <w:rFonts w:ascii="宋体" w:hAnsi="宋体" w:cs="宋体"/>
          <w:b/>
          <w:color w:val="000000"/>
          <w:sz w:val="28"/>
          <w:szCs w:val="28"/>
        </w:rPr>
      </w:pPr>
      <w:r>
        <w:rPr>
          <w:rFonts w:hint="eastAsia" w:ascii="宋体" w:hAnsi="宋体" w:cs="宋体"/>
          <w:b/>
          <w:color w:val="000000"/>
          <w:sz w:val="28"/>
          <w:szCs w:val="28"/>
        </w:rPr>
        <w:t>报价一览表</w:t>
      </w:r>
    </w:p>
    <w:p>
      <w:pPr>
        <w:spacing w:line="500" w:lineRule="exact"/>
        <w:rPr>
          <w:rFonts w:ascii="宋体" w:hAnsi="宋体" w:cs="宋体"/>
          <w:b/>
          <w:color w:val="000000"/>
          <w:kern w:val="0"/>
          <w:szCs w:val="21"/>
        </w:rPr>
      </w:pPr>
      <w:r>
        <w:rPr>
          <w:rFonts w:hint="eastAsia" w:ascii="宋体" w:hAnsi="宋体" w:cs="宋体"/>
          <w:b/>
          <w:color w:val="000000"/>
          <w:kern w:val="0"/>
          <w:sz w:val="24"/>
          <w:szCs w:val="24"/>
        </w:rPr>
        <w:t xml:space="preserve">                                         </w:t>
      </w: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662" w:type="dxa"/>
            <w:vAlign w:val="center"/>
          </w:tcPr>
          <w:p>
            <w:pPr>
              <w:widowControl/>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662" w:type="dxa"/>
            <w:vAlign w:val="center"/>
          </w:tcPr>
          <w:p>
            <w:pPr>
              <w:widowControl/>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项目总价</w:t>
            </w:r>
          </w:p>
        </w:tc>
        <w:tc>
          <w:tcPr>
            <w:tcW w:w="6662" w:type="dxa"/>
            <w:vAlign w:val="center"/>
          </w:tcPr>
          <w:p>
            <w:pPr>
              <w:widowControl/>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质保期</w:t>
            </w:r>
          </w:p>
        </w:tc>
        <w:tc>
          <w:tcPr>
            <w:tcW w:w="6662" w:type="dxa"/>
            <w:vAlign w:val="center"/>
          </w:tcPr>
          <w:p>
            <w:pPr>
              <w:widowControl/>
              <w:jc w:val="center"/>
              <w:rPr>
                <w:rFonts w:ascii="宋体" w:hAnsi="宋体"/>
                <w:color w:val="000000"/>
                <w:szCs w:val="21"/>
              </w:rPr>
            </w:pPr>
            <w:r>
              <w:rPr>
                <w:rFonts w:hint="eastAsia" w:ascii="宋体" w:hAnsi="宋体"/>
                <w:color w:val="000000"/>
                <w:szCs w:val="21"/>
              </w:rPr>
              <w:t>年</w:t>
            </w:r>
          </w:p>
        </w:tc>
      </w:tr>
    </w:tbl>
    <w:p>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rPr>
          <w:rFonts w:ascii="宋体" w:hAnsi="宋体" w:cs="宋体"/>
          <w:color w:val="000000"/>
          <w:sz w:val="24"/>
        </w:rPr>
      </w:pPr>
    </w:p>
    <w:p>
      <w:pPr>
        <w:spacing w:line="280" w:lineRule="exact"/>
        <w:ind w:right="420"/>
        <w:rPr>
          <w:rFonts w:ascii="宋体" w:hAnsi="宋体" w:cs="宋体"/>
          <w:color w:val="000000"/>
          <w:szCs w:val="21"/>
        </w:rPr>
      </w:pPr>
    </w:p>
    <w:p>
      <w:pPr>
        <w:rPr>
          <w:rFonts w:asciiTheme="minorEastAsia" w:hAnsiTheme="minorEastAsia" w:eastAsiaTheme="minorEastAsia"/>
          <w:b/>
          <w:sz w:val="28"/>
          <w:szCs w:val="28"/>
        </w:rPr>
      </w:pPr>
      <w:r>
        <w:rPr>
          <w:rFonts w:asciiTheme="minorEastAsia" w:hAnsiTheme="minorEastAsia" w:eastAsiaTheme="minorEastAsia"/>
          <w:b/>
          <w:sz w:val="28"/>
          <w:szCs w:val="28"/>
        </w:rPr>
        <w:t>5</w:t>
      </w:r>
      <w:r>
        <w:rPr>
          <w:rFonts w:hint="eastAsia" w:asciiTheme="minorEastAsia" w:hAnsiTheme="minorEastAsia" w:eastAsiaTheme="minorEastAsia"/>
          <w:b/>
          <w:sz w:val="28"/>
          <w:szCs w:val="28"/>
        </w:rPr>
        <w:t>.谈判</w:t>
      </w:r>
      <w:r>
        <w:rPr>
          <w:rFonts w:asciiTheme="minorEastAsia" w:hAnsiTheme="minorEastAsia" w:eastAsiaTheme="minorEastAsia"/>
          <w:b/>
          <w:sz w:val="28"/>
          <w:szCs w:val="28"/>
        </w:rPr>
        <w:t>分项报价</w:t>
      </w:r>
      <w:r>
        <w:rPr>
          <w:rFonts w:hint="eastAsia" w:asciiTheme="minorEastAsia" w:hAnsiTheme="minorEastAsia" w:eastAsiaTheme="minorEastAsia"/>
          <w:b/>
          <w:sz w:val="28"/>
          <w:szCs w:val="28"/>
        </w:rPr>
        <w:t>表</w:t>
      </w:r>
    </w:p>
    <w:p>
      <w:pPr>
        <w:spacing w:line="360" w:lineRule="auto"/>
        <w:jc w:val="center"/>
        <w:rPr>
          <w:rFonts w:ascii="宋体" w:hAnsi="宋体"/>
          <w:b/>
          <w:sz w:val="28"/>
          <w:szCs w:val="28"/>
        </w:rPr>
      </w:pPr>
      <w:r>
        <w:rPr>
          <w:rFonts w:hint="eastAsia" w:ascii="宋体" w:hAnsi="宋体"/>
          <w:b/>
          <w:sz w:val="28"/>
          <w:szCs w:val="28"/>
        </w:rPr>
        <w:t>谈判分项</w:t>
      </w:r>
      <w:r>
        <w:rPr>
          <w:rFonts w:ascii="宋体" w:hAnsi="宋体"/>
          <w:b/>
          <w:sz w:val="28"/>
          <w:szCs w:val="28"/>
        </w:rPr>
        <w:t>报价</w:t>
      </w:r>
      <w:r>
        <w:rPr>
          <w:rFonts w:hint="eastAsia" w:ascii="宋体" w:hAnsi="宋体"/>
          <w:b/>
          <w:sz w:val="28"/>
          <w:szCs w:val="28"/>
        </w:rPr>
        <w:t>表</w:t>
      </w:r>
    </w:p>
    <w:p>
      <w:pPr>
        <w:snapToGrid w:val="0"/>
        <w:spacing w:line="360" w:lineRule="auto"/>
        <w:rPr>
          <w:rFonts w:ascii="宋体" w:hAnsi="宋体"/>
          <w:szCs w:val="21"/>
        </w:rPr>
      </w:pPr>
      <w:r>
        <w:rPr>
          <w:rFonts w:hint="eastAsia" w:ascii="宋体" w:hAnsi="宋体"/>
          <w:szCs w:val="21"/>
        </w:rPr>
        <w:t>项目编号：</w:t>
      </w:r>
      <w:r>
        <w:rPr>
          <w:rFonts w:ascii="宋体" w:hAnsi="宋体"/>
          <w:szCs w:val="21"/>
          <w:u w:val="single"/>
        </w:rPr>
        <w:t xml:space="preserve">                          </w:t>
      </w:r>
      <w:r>
        <w:rPr>
          <w:rFonts w:hint="eastAsia" w:ascii="宋体" w:hAnsi="宋体" w:cs="宋体"/>
          <w:szCs w:val="21"/>
        </w:rPr>
        <w:t> </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序号</w:t>
            </w:r>
          </w:p>
        </w:tc>
        <w:tc>
          <w:tcPr>
            <w:tcW w:w="934"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设备</w:t>
            </w:r>
          </w:p>
          <w:p>
            <w:pPr>
              <w:widowControl/>
              <w:snapToGrid w:val="0"/>
              <w:spacing w:line="360" w:lineRule="auto"/>
              <w:jc w:val="center"/>
              <w:rPr>
                <w:rFonts w:ascii="宋体" w:hAnsi="宋体" w:cs="Arial"/>
                <w:kern w:val="0"/>
                <w:szCs w:val="21"/>
              </w:rPr>
            </w:pPr>
            <w:r>
              <w:rPr>
                <w:rFonts w:hint="eastAsia" w:ascii="宋体" w:hAnsi="宋体" w:cs="Arial"/>
                <w:kern w:val="0"/>
                <w:szCs w:val="21"/>
              </w:rPr>
              <w:t>名称</w:t>
            </w:r>
          </w:p>
        </w:tc>
        <w:tc>
          <w:tcPr>
            <w:tcW w:w="780"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品牌</w:t>
            </w:r>
          </w:p>
        </w:tc>
        <w:tc>
          <w:tcPr>
            <w:tcW w:w="1117"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规格型号</w:t>
            </w:r>
          </w:p>
        </w:tc>
        <w:tc>
          <w:tcPr>
            <w:tcW w:w="1799"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技术参数</w:t>
            </w:r>
          </w:p>
        </w:tc>
        <w:tc>
          <w:tcPr>
            <w:tcW w:w="613"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数量</w:t>
            </w:r>
          </w:p>
        </w:tc>
        <w:tc>
          <w:tcPr>
            <w:tcW w:w="618"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单位</w:t>
            </w:r>
          </w:p>
        </w:tc>
        <w:tc>
          <w:tcPr>
            <w:tcW w:w="1991" w:type="dxa"/>
            <w:gridSpan w:val="2"/>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供应商民币价格（元）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ascii="宋体" w:hAnsi="宋体" w:cs="Arial"/>
                <w:kern w:val="0"/>
                <w:szCs w:val="21"/>
              </w:rPr>
            </w:pPr>
          </w:p>
        </w:tc>
        <w:tc>
          <w:tcPr>
            <w:tcW w:w="934" w:type="dxa"/>
            <w:vMerge w:val="continue"/>
            <w:vAlign w:val="center"/>
          </w:tcPr>
          <w:p>
            <w:pPr>
              <w:widowControl/>
              <w:snapToGrid w:val="0"/>
              <w:spacing w:line="360" w:lineRule="auto"/>
              <w:jc w:val="center"/>
              <w:rPr>
                <w:rFonts w:ascii="宋体" w:hAnsi="宋体" w:cs="Arial"/>
                <w:kern w:val="0"/>
                <w:szCs w:val="21"/>
              </w:rPr>
            </w:pPr>
          </w:p>
        </w:tc>
        <w:tc>
          <w:tcPr>
            <w:tcW w:w="780" w:type="dxa"/>
            <w:vMerge w:val="continue"/>
            <w:vAlign w:val="center"/>
          </w:tcPr>
          <w:p>
            <w:pPr>
              <w:widowControl/>
              <w:snapToGrid w:val="0"/>
              <w:spacing w:line="360" w:lineRule="auto"/>
              <w:jc w:val="center"/>
              <w:rPr>
                <w:rFonts w:ascii="宋体" w:hAnsi="宋体" w:cs="Arial"/>
                <w:kern w:val="0"/>
                <w:szCs w:val="21"/>
              </w:rPr>
            </w:pPr>
          </w:p>
        </w:tc>
        <w:tc>
          <w:tcPr>
            <w:tcW w:w="1117" w:type="dxa"/>
            <w:vMerge w:val="continue"/>
            <w:vAlign w:val="center"/>
          </w:tcPr>
          <w:p>
            <w:pPr>
              <w:widowControl/>
              <w:snapToGrid w:val="0"/>
              <w:spacing w:line="360" w:lineRule="auto"/>
              <w:jc w:val="center"/>
              <w:rPr>
                <w:rFonts w:ascii="宋体" w:hAnsi="宋体" w:cs="Arial"/>
                <w:kern w:val="0"/>
                <w:szCs w:val="21"/>
              </w:rPr>
            </w:pPr>
          </w:p>
        </w:tc>
        <w:tc>
          <w:tcPr>
            <w:tcW w:w="1799" w:type="dxa"/>
            <w:vMerge w:val="continue"/>
            <w:vAlign w:val="center"/>
          </w:tcPr>
          <w:p>
            <w:pPr>
              <w:widowControl/>
              <w:snapToGrid w:val="0"/>
              <w:spacing w:line="360" w:lineRule="auto"/>
              <w:jc w:val="center"/>
              <w:rPr>
                <w:rFonts w:ascii="宋体" w:hAnsi="宋体" w:cs="Arial"/>
                <w:kern w:val="0"/>
                <w:szCs w:val="21"/>
              </w:rPr>
            </w:pPr>
          </w:p>
        </w:tc>
        <w:tc>
          <w:tcPr>
            <w:tcW w:w="613" w:type="dxa"/>
            <w:vMerge w:val="continue"/>
            <w:vAlign w:val="center"/>
          </w:tcPr>
          <w:p>
            <w:pPr>
              <w:widowControl/>
              <w:snapToGrid w:val="0"/>
              <w:spacing w:line="360" w:lineRule="auto"/>
              <w:jc w:val="center"/>
              <w:rPr>
                <w:rFonts w:ascii="宋体" w:hAnsi="宋体" w:cs="Arial"/>
                <w:kern w:val="0"/>
                <w:szCs w:val="21"/>
              </w:rPr>
            </w:pPr>
          </w:p>
        </w:tc>
        <w:tc>
          <w:tcPr>
            <w:tcW w:w="618" w:type="dxa"/>
            <w:vMerge w:val="continue"/>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单价</w:t>
            </w:r>
          </w:p>
        </w:tc>
        <w:tc>
          <w:tcPr>
            <w:tcW w:w="1072"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ascii="宋体" w:hAnsi="宋体" w:cs="Arial"/>
                <w:kern w:val="0"/>
                <w:szCs w:val="21"/>
              </w:rPr>
              <w:t>1</w:t>
            </w:r>
          </w:p>
        </w:tc>
        <w:tc>
          <w:tcPr>
            <w:tcW w:w="934" w:type="dxa"/>
            <w:vAlign w:val="center"/>
          </w:tcPr>
          <w:p>
            <w:pPr>
              <w:widowControl/>
              <w:snapToGrid w:val="0"/>
              <w:spacing w:line="360" w:lineRule="auto"/>
              <w:jc w:val="center"/>
              <w:rPr>
                <w:rFonts w:ascii="宋体" w:hAnsi="宋体" w:cs="Arial"/>
                <w:b/>
                <w:bCs/>
                <w:kern w:val="0"/>
                <w:szCs w:val="21"/>
              </w:rPr>
            </w:pPr>
          </w:p>
        </w:tc>
        <w:tc>
          <w:tcPr>
            <w:tcW w:w="780" w:type="dxa"/>
            <w:vAlign w:val="center"/>
          </w:tcPr>
          <w:p>
            <w:pPr>
              <w:widowControl/>
              <w:snapToGrid w:val="0"/>
              <w:spacing w:line="360" w:lineRule="auto"/>
              <w:jc w:val="center"/>
              <w:rPr>
                <w:rFonts w:ascii="宋体" w:hAnsi="宋体" w:cs="Arial"/>
                <w:kern w:val="0"/>
                <w:szCs w:val="21"/>
              </w:rPr>
            </w:pPr>
          </w:p>
        </w:tc>
        <w:tc>
          <w:tcPr>
            <w:tcW w:w="1117" w:type="dxa"/>
            <w:vAlign w:val="center"/>
          </w:tcPr>
          <w:p>
            <w:pPr>
              <w:widowControl/>
              <w:snapToGrid w:val="0"/>
              <w:spacing w:line="360" w:lineRule="auto"/>
              <w:jc w:val="center"/>
              <w:rPr>
                <w:rFonts w:ascii="宋体" w:hAnsi="宋体" w:cs="Arial"/>
                <w:kern w:val="0"/>
                <w:szCs w:val="21"/>
              </w:rPr>
            </w:pPr>
          </w:p>
        </w:tc>
        <w:tc>
          <w:tcPr>
            <w:tcW w:w="1799" w:type="dxa"/>
            <w:vAlign w:val="center"/>
          </w:tcPr>
          <w:p>
            <w:pPr>
              <w:widowControl/>
              <w:snapToGrid w:val="0"/>
              <w:spacing w:line="360" w:lineRule="auto"/>
              <w:jc w:val="center"/>
              <w:rPr>
                <w:rFonts w:ascii="宋体" w:hAnsi="宋体" w:cs="Arial"/>
                <w:kern w:val="0"/>
                <w:szCs w:val="21"/>
              </w:rPr>
            </w:pPr>
          </w:p>
        </w:tc>
        <w:tc>
          <w:tcPr>
            <w:tcW w:w="613" w:type="dxa"/>
            <w:vAlign w:val="center"/>
          </w:tcPr>
          <w:p>
            <w:pPr>
              <w:widowControl/>
              <w:snapToGrid w:val="0"/>
              <w:spacing w:line="360" w:lineRule="auto"/>
              <w:jc w:val="center"/>
              <w:rPr>
                <w:rFonts w:ascii="宋体" w:hAnsi="宋体" w:cs="Arial"/>
                <w:kern w:val="0"/>
                <w:szCs w:val="21"/>
              </w:rPr>
            </w:pPr>
          </w:p>
        </w:tc>
        <w:tc>
          <w:tcPr>
            <w:tcW w:w="618"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ascii="宋体" w:hAnsi="宋体" w:cs="Arial"/>
                <w:kern w:val="0"/>
                <w:szCs w:val="21"/>
              </w:rPr>
              <w:t>2</w:t>
            </w:r>
          </w:p>
        </w:tc>
        <w:tc>
          <w:tcPr>
            <w:tcW w:w="934" w:type="dxa"/>
            <w:vAlign w:val="center"/>
          </w:tcPr>
          <w:p>
            <w:pPr>
              <w:widowControl/>
              <w:snapToGrid w:val="0"/>
              <w:spacing w:line="360" w:lineRule="auto"/>
              <w:jc w:val="center"/>
              <w:rPr>
                <w:rFonts w:ascii="宋体" w:hAnsi="宋体" w:cs="Arial"/>
                <w:b/>
                <w:bCs/>
                <w:kern w:val="0"/>
                <w:szCs w:val="21"/>
              </w:rPr>
            </w:pPr>
          </w:p>
        </w:tc>
        <w:tc>
          <w:tcPr>
            <w:tcW w:w="780" w:type="dxa"/>
            <w:vAlign w:val="center"/>
          </w:tcPr>
          <w:p>
            <w:pPr>
              <w:widowControl/>
              <w:snapToGrid w:val="0"/>
              <w:spacing w:line="360" w:lineRule="auto"/>
              <w:jc w:val="center"/>
              <w:rPr>
                <w:rFonts w:ascii="宋体" w:hAnsi="宋体" w:cs="Arial"/>
                <w:kern w:val="0"/>
                <w:szCs w:val="21"/>
              </w:rPr>
            </w:pPr>
          </w:p>
        </w:tc>
        <w:tc>
          <w:tcPr>
            <w:tcW w:w="1117" w:type="dxa"/>
            <w:vAlign w:val="center"/>
          </w:tcPr>
          <w:p>
            <w:pPr>
              <w:widowControl/>
              <w:snapToGrid w:val="0"/>
              <w:spacing w:line="360" w:lineRule="auto"/>
              <w:jc w:val="center"/>
              <w:rPr>
                <w:rFonts w:ascii="宋体" w:hAnsi="宋体" w:cs="Arial"/>
                <w:kern w:val="0"/>
                <w:szCs w:val="21"/>
              </w:rPr>
            </w:pPr>
          </w:p>
        </w:tc>
        <w:tc>
          <w:tcPr>
            <w:tcW w:w="1799" w:type="dxa"/>
            <w:vAlign w:val="center"/>
          </w:tcPr>
          <w:p>
            <w:pPr>
              <w:widowControl/>
              <w:snapToGrid w:val="0"/>
              <w:spacing w:line="360" w:lineRule="auto"/>
              <w:jc w:val="center"/>
              <w:rPr>
                <w:rFonts w:ascii="宋体" w:hAnsi="宋体" w:cs="Arial"/>
                <w:kern w:val="0"/>
                <w:szCs w:val="21"/>
              </w:rPr>
            </w:pPr>
          </w:p>
        </w:tc>
        <w:tc>
          <w:tcPr>
            <w:tcW w:w="613" w:type="dxa"/>
            <w:vAlign w:val="center"/>
          </w:tcPr>
          <w:p>
            <w:pPr>
              <w:widowControl/>
              <w:snapToGrid w:val="0"/>
              <w:spacing w:line="360" w:lineRule="auto"/>
              <w:jc w:val="center"/>
              <w:rPr>
                <w:rFonts w:ascii="宋体" w:hAnsi="宋体" w:cs="Arial"/>
                <w:kern w:val="0"/>
                <w:szCs w:val="21"/>
              </w:rPr>
            </w:pPr>
          </w:p>
        </w:tc>
        <w:tc>
          <w:tcPr>
            <w:tcW w:w="618"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ascii="宋体" w:hAnsi="宋体" w:cs="Arial"/>
                <w:kern w:val="0"/>
                <w:szCs w:val="21"/>
              </w:rPr>
              <w:t>3</w:t>
            </w:r>
          </w:p>
        </w:tc>
        <w:tc>
          <w:tcPr>
            <w:tcW w:w="934" w:type="dxa"/>
            <w:vAlign w:val="center"/>
          </w:tcPr>
          <w:p>
            <w:pPr>
              <w:widowControl/>
              <w:snapToGrid w:val="0"/>
              <w:spacing w:line="360" w:lineRule="auto"/>
              <w:jc w:val="center"/>
              <w:rPr>
                <w:rFonts w:ascii="宋体" w:hAnsi="宋体" w:cs="Arial"/>
                <w:b/>
                <w:bCs/>
                <w:kern w:val="0"/>
                <w:szCs w:val="21"/>
              </w:rPr>
            </w:pPr>
          </w:p>
        </w:tc>
        <w:tc>
          <w:tcPr>
            <w:tcW w:w="780" w:type="dxa"/>
            <w:vAlign w:val="center"/>
          </w:tcPr>
          <w:p>
            <w:pPr>
              <w:widowControl/>
              <w:snapToGrid w:val="0"/>
              <w:spacing w:line="360" w:lineRule="auto"/>
              <w:jc w:val="center"/>
              <w:rPr>
                <w:rFonts w:ascii="宋体" w:hAnsi="宋体" w:cs="Arial"/>
                <w:kern w:val="0"/>
                <w:szCs w:val="21"/>
              </w:rPr>
            </w:pPr>
          </w:p>
        </w:tc>
        <w:tc>
          <w:tcPr>
            <w:tcW w:w="1117" w:type="dxa"/>
            <w:vAlign w:val="center"/>
          </w:tcPr>
          <w:p>
            <w:pPr>
              <w:widowControl/>
              <w:snapToGrid w:val="0"/>
              <w:spacing w:line="360" w:lineRule="auto"/>
              <w:jc w:val="center"/>
              <w:rPr>
                <w:rFonts w:ascii="宋体" w:hAnsi="宋体" w:cs="Arial"/>
                <w:kern w:val="0"/>
                <w:szCs w:val="21"/>
              </w:rPr>
            </w:pPr>
          </w:p>
        </w:tc>
        <w:tc>
          <w:tcPr>
            <w:tcW w:w="1799" w:type="dxa"/>
            <w:vAlign w:val="center"/>
          </w:tcPr>
          <w:p>
            <w:pPr>
              <w:widowControl/>
              <w:snapToGrid w:val="0"/>
              <w:spacing w:line="360" w:lineRule="auto"/>
              <w:jc w:val="center"/>
              <w:rPr>
                <w:rFonts w:ascii="宋体" w:hAnsi="宋体" w:cs="Arial"/>
                <w:kern w:val="0"/>
                <w:szCs w:val="21"/>
              </w:rPr>
            </w:pPr>
          </w:p>
        </w:tc>
        <w:tc>
          <w:tcPr>
            <w:tcW w:w="613" w:type="dxa"/>
            <w:vAlign w:val="center"/>
          </w:tcPr>
          <w:p>
            <w:pPr>
              <w:widowControl/>
              <w:snapToGrid w:val="0"/>
              <w:spacing w:line="360" w:lineRule="auto"/>
              <w:jc w:val="center"/>
              <w:rPr>
                <w:rFonts w:ascii="宋体" w:hAnsi="宋体" w:cs="Arial"/>
                <w:kern w:val="0"/>
                <w:szCs w:val="21"/>
              </w:rPr>
            </w:pPr>
          </w:p>
        </w:tc>
        <w:tc>
          <w:tcPr>
            <w:tcW w:w="618"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w:t>
            </w:r>
          </w:p>
        </w:tc>
        <w:tc>
          <w:tcPr>
            <w:tcW w:w="934" w:type="dxa"/>
            <w:vAlign w:val="center"/>
          </w:tcPr>
          <w:p>
            <w:pPr>
              <w:widowControl/>
              <w:snapToGrid w:val="0"/>
              <w:spacing w:line="360" w:lineRule="auto"/>
              <w:jc w:val="center"/>
              <w:rPr>
                <w:rFonts w:ascii="宋体" w:hAnsi="宋体" w:cs="Arial"/>
                <w:b/>
                <w:bCs/>
                <w:kern w:val="0"/>
                <w:szCs w:val="21"/>
              </w:rPr>
            </w:pPr>
          </w:p>
        </w:tc>
        <w:tc>
          <w:tcPr>
            <w:tcW w:w="780" w:type="dxa"/>
            <w:vAlign w:val="center"/>
          </w:tcPr>
          <w:p>
            <w:pPr>
              <w:widowControl/>
              <w:snapToGrid w:val="0"/>
              <w:spacing w:line="360" w:lineRule="auto"/>
              <w:jc w:val="center"/>
              <w:rPr>
                <w:rFonts w:ascii="宋体" w:hAnsi="宋体" w:cs="Arial"/>
                <w:kern w:val="0"/>
                <w:szCs w:val="21"/>
              </w:rPr>
            </w:pPr>
          </w:p>
        </w:tc>
        <w:tc>
          <w:tcPr>
            <w:tcW w:w="1117" w:type="dxa"/>
            <w:vAlign w:val="center"/>
          </w:tcPr>
          <w:p>
            <w:pPr>
              <w:widowControl/>
              <w:snapToGrid w:val="0"/>
              <w:spacing w:line="360" w:lineRule="auto"/>
              <w:jc w:val="center"/>
              <w:rPr>
                <w:rFonts w:ascii="宋体" w:hAnsi="宋体" w:cs="Arial"/>
                <w:kern w:val="0"/>
                <w:szCs w:val="21"/>
              </w:rPr>
            </w:pPr>
          </w:p>
        </w:tc>
        <w:tc>
          <w:tcPr>
            <w:tcW w:w="1799" w:type="dxa"/>
            <w:vAlign w:val="center"/>
          </w:tcPr>
          <w:p>
            <w:pPr>
              <w:widowControl/>
              <w:snapToGrid w:val="0"/>
              <w:spacing w:line="360" w:lineRule="auto"/>
              <w:jc w:val="center"/>
              <w:rPr>
                <w:rFonts w:ascii="宋体" w:hAnsi="宋体" w:cs="Arial"/>
                <w:kern w:val="0"/>
                <w:szCs w:val="21"/>
              </w:rPr>
            </w:pPr>
          </w:p>
        </w:tc>
        <w:tc>
          <w:tcPr>
            <w:tcW w:w="613" w:type="dxa"/>
            <w:vAlign w:val="center"/>
          </w:tcPr>
          <w:p>
            <w:pPr>
              <w:widowControl/>
              <w:snapToGrid w:val="0"/>
              <w:spacing w:line="360" w:lineRule="auto"/>
              <w:jc w:val="center"/>
              <w:rPr>
                <w:rFonts w:ascii="宋体" w:hAnsi="宋体" w:cs="Arial"/>
                <w:kern w:val="0"/>
                <w:szCs w:val="21"/>
              </w:rPr>
            </w:pPr>
          </w:p>
        </w:tc>
        <w:tc>
          <w:tcPr>
            <w:tcW w:w="618"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合</w:t>
            </w:r>
            <w:r>
              <w:rPr>
                <w:rFonts w:ascii="宋体" w:hAnsi="宋体" w:cs="Arial"/>
                <w:kern w:val="0"/>
                <w:szCs w:val="21"/>
              </w:rPr>
              <w:t xml:space="preserve">     </w:t>
            </w:r>
            <w:r>
              <w:rPr>
                <w:rFonts w:hint="eastAsia" w:ascii="宋体" w:hAnsi="宋体" w:cs="Arial"/>
                <w:kern w:val="0"/>
                <w:szCs w:val="21"/>
              </w:rPr>
              <w:t>计</w:t>
            </w: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bl>
    <w:p>
      <w:pPr>
        <w:widowControl/>
        <w:snapToGrid w:val="0"/>
        <w:spacing w:line="360" w:lineRule="auto"/>
        <w:rPr>
          <w:rFonts w:ascii="宋体" w:hAnsi="宋体" w:cs="Arial"/>
          <w:kern w:val="0"/>
          <w:szCs w:val="21"/>
        </w:rPr>
      </w:pPr>
      <w:r>
        <w:rPr>
          <w:rFonts w:hint="eastAsia" w:ascii="宋体" w:hAnsi="宋体" w:cs="Arial"/>
          <w:kern w:val="0"/>
          <w:szCs w:val="21"/>
        </w:rPr>
        <w:t>供应商名称（公章）：</w:t>
      </w:r>
    </w:p>
    <w:p>
      <w:pPr>
        <w:snapToGrid w:val="0"/>
        <w:spacing w:line="360" w:lineRule="auto"/>
        <w:rPr>
          <w:rFonts w:ascii="宋体" w:hAnsi="宋体"/>
          <w:szCs w:val="21"/>
        </w:rPr>
      </w:pPr>
      <w:r>
        <w:rPr>
          <w:rFonts w:hint="eastAsia" w:ascii="宋体" w:hAnsi="宋体"/>
          <w:szCs w:val="21"/>
        </w:rPr>
        <w:t>法定代表人或代理人（签字或盖章）：</w:t>
      </w:r>
    </w:p>
    <w:p>
      <w:pPr>
        <w:snapToGrid w:val="0"/>
        <w:spacing w:line="360" w:lineRule="auto"/>
        <w:rPr>
          <w:szCs w:val="21"/>
        </w:rPr>
      </w:pPr>
      <w:r>
        <w:rPr>
          <w:rFonts w:hint="eastAsia"/>
          <w:szCs w:val="21"/>
        </w:rPr>
        <w:t>表式参考，可根据项目情况自行调整</w:t>
      </w:r>
    </w:p>
    <w:p>
      <w:pPr>
        <w:rPr>
          <w:rFonts w:ascii="宋体" w:hAnsi="宋体" w:cs="宋体"/>
          <w:b/>
          <w:sz w:val="28"/>
          <w:szCs w:val="28"/>
        </w:rPr>
      </w:pPr>
      <w:r>
        <w:rPr>
          <w:rFonts w:ascii="宋体" w:hAnsi="宋体" w:cs="宋体"/>
          <w:b/>
          <w:sz w:val="28"/>
          <w:szCs w:val="28"/>
        </w:rPr>
        <w:br w:type="page"/>
      </w:r>
    </w:p>
    <w:p>
      <w:pPr>
        <w:rPr>
          <w:rFonts w:ascii="宋体" w:hAnsi="宋体" w:cs="宋体"/>
          <w:b/>
          <w:sz w:val="28"/>
          <w:szCs w:val="28"/>
        </w:rPr>
      </w:pPr>
      <w:r>
        <w:rPr>
          <w:rFonts w:ascii="宋体" w:hAnsi="宋体" w:cs="宋体"/>
          <w:b/>
          <w:sz w:val="28"/>
          <w:szCs w:val="28"/>
        </w:rPr>
        <w:t>6</w:t>
      </w:r>
      <w:r>
        <w:rPr>
          <w:rFonts w:hint="eastAsia" w:ascii="宋体" w:hAnsi="宋体" w:cs="宋体"/>
          <w:b/>
          <w:sz w:val="28"/>
          <w:szCs w:val="28"/>
        </w:rPr>
        <w:t>.偏离表</w:t>
      </w:r>
    </w:p>
    <w:p>
      <w:pPr>
        <w:jc w:val="center"/>
        <w:rPr>
          <w:rFonts w:ascii="宋体" w:hAnsi="宋体" w:cs="宋体"/>
          <w:b/>
          <w:sz w:val="28"/>
          <w:szCs w:val="28"/>
        </w:rPr>
      </w:pPr>
      <w:r>
        <w:rPr>
          <w:rFonts w:hint="eastAsia" w:ascii="宋体" w:hAnsi="宋体" w:cs="宋体"/>
          <w:b/>
          <w:sz w:val="28"/>
          <w:szCs w:val="28"/>
        </w:rPr>
        <w:t>偏 离 表</w:t>
      </w:r>
    </w:p>
    <w:p>
      <w:pPr>
        <w:ind w:firstLine="420" w:firstLineChars="200"/>
        <w:rPr>
          <w:rFonts w:ascii="宋体" w:hAnsi="宋体" w:cs="宋体"/>
          <w:szCs w:val="21"/>
        </w:rPr>
      </w:pPr>
      <w:r>
        <w:rPr>
          <w:rFonts w:hint="eastAsia" w:ascii="宋体" w:hAnsi="宋体" w:cs="宋体"/>
          <w:szCs w:val="21"/>
        </w:rPr>
        <w:t>供应商应对竞争性谈判文件中规定的商务及技术部分给予充分的考虑。为了评审的需要，供应商应将这些条款的异议逐条提出或根据以下要求的格式提出偏离。</w:t>
      </w:r>
    </w:p>
    <w:p>
      <w:pPr>
        <w:ind w:firstLine="420" w:firstLineChars="200"/>
        <w:rPr>
          <w:rFonts w:ascii="宋体" w:hAnsi="宋体" w:cs="宋体"/>
          <w:szCs w:val="21"/>
        </w:rPr>
      </w:pPr>
      <w:r>
        <w:rPr>
          <w:rFonts w:hint="eastAsia" w:ascii="宋体" w:hAnsi="宋体" w:cs="宋体"/>
          <w:szCs w:val="21"/>
        </w:rPr>
        <w:t xml:space="preserve">如无偏离，请在本页上写“无”，并附在谈判响应文件中 。          </w:t>
      </w:r>
    </w:p>
    <w:p>
      <w:pPr>
        <w:ind w:firstLine="420" w:firstLineChars="200"/>
        <w:rPr>
          <w:rFonts w:ascii="宋体" w:hAnsi="宋体" w:cs="宋体"/>
          <w:szCs w:val="21"/>
        </w:rPr>
      </w:pPr>
      <w:r>
        <w:rPr>
          <w:rFonts w:hint="eastAsia" w:ascii="宋体" w:hAnsi="宋体" w:cs="宋体"/>
          <w:szCs w:val="21"/>
        </w:rPr>
        <w:t>项目编号：</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pPr>
              <w:rPr>
                <w:rFonts w:ascii="宋体" w:hAnsi="宋体" w:cs="宋体"/>
                <w:szCs w:val="21"/>
              </w:rPr>
            </w:pPr>
            <w:r>
              <w:rPr>
                <w:rFonts w:hint="eastAsia" w:ascii="宋体" w:hAnsi="宋体" w:cs="宋体"/>
                <w:szCs w:val="21"/>
              </w:rPr>
              <w:t>章节号</w:t>
            </w:r>
          </w:p>
        </w:tc>
        <w:tc>
          <w:tcPr>
            <w:tcW w:w="2132" w:type="dxa"/>
            <w:vAlign w:val="center"/>
          </w:tcPr>
          <w:p>
            <w:pPr>
              <w:rPr>
                <w:rFonts w:ascii="宋体" w:hAnsi="宋体" w:cs="宋体"/>
                <w:szCs w:val="21"/>
              </w:rPr>
            </w:pPr>
            <w:r>
              <w:rPr>
                <w:rFonts w:hint="eastAsia" w:ascii="宋体" w:hAnsi="宋体" w:cs="宋体"/>
                <w:szCs w:val="21"/>
              </w:rPr>
              <w:t>供应商的偏离</w:t>
            </w:r>
          </w:p>
        </w:tc>
        <w:tc>
          <w:tcPr>
            <w:tcW w:w="3044" w:type="dxa"/>
            <w:vAlign w:val="center"/>
          </w:tcPr>
          <w:p>
            <w:pPr>
              <w:rPr>
                <w:rFonts w:ascii="宋体" w:hAnsi="宋体" w:cs="宋体"/>
                <w:szCs w:val="21"/>
              </w:rPr>
            </w:pPr>
            <w:r>
              <w:rPr>
                <w:rFonts w:hint="eastAsia" w:ascii="宋体" w:hAnsi="宋体" w:cs="宋体"/>
                <w:szCs w:val="21"/>
              </w:rPr>
              <w:t>供应商偏离的理由</w:t>
            </w:r>
          </w:p>
        </w:tc>
        <w:tc>
          <w:tcPr>
            <w:tcW w:w="1440"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bl>
    <w:p>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pStyle w:val="6"/>
        <w:overflowPunct w:val="0"/>
        <w:spacing w:line="500" w:lineRule="exact"/>
        <w:ind w:firstLine="0"/>
        <w:rPr>
          <w:rFonts w:hAnsi="宋体" w:cs="宋体"/>
          <w:b/>
          <w:sz w:val="28"/>
          <w:szCs w:val="28"/>
        </w:rPr>
      </w:pPr>
    </w:p>
    <w:p>
      <w:pPr>
        <w:pStyle w:val="6"/>
        <w:overflowPunct w:val="0"/>
        <w:spacing w:line="500" w:lineRule="exact"/>
        <w:ind w:firstLine="0"/>
        <w:rPr>
          <w:rFonts w:hAnsi="宋体" w:cs="宋体"/>
          <w:b/>
          <w:sz w:val="28"/>
          <w:szCs w:val="28"/>
        </w:rPr>
      </w:pPr>
    </w:p>
    <w:p>
      <w:pPr>
        <w:pStyle w:val="6"/>
        <w:overflowPunct w:val="0"/>
        <w:spacing w:line="500" w:lineRule="exact"/>
        <w:ind w:firstLine="0"/>
        <w:rPr>
          <w:rFonts w:hAnsi="宋体" w:cs="宋体"/>
          <w:b/>
          <w:bCs/>
          <w:sz w:val="28"/>
          <w:szCs w:val="28"/>
        </w:rPr>
      </w:pPr>
      <w:r>
        <w:rPr>
          <w:rFonts w:hAnsi="宋体" w:cs="宋体"/>
          <w:b/>
          <w:bCs/>
          <w:sz w:val="28"/>
          <w:szCs w:val="28"/>
        </w:rPr>
        <w:t>7</w:t>
      </w:r>
      <w:r>
        <w:rPr>
          <w:rFonts w:hint="eastAsia" w:hAnsi="宋体" w:cs="宋体"/>
          <w:b/>
          <w:bCs/>
          <w:sz w:val="28"/>
          <w:szCs w:val="28"/>
        </w:rPr>
        <w:t>.质保</w:t>
      </w:r>
      <w:r>
        <w:rPr>
          <w:rFonts w:hAnsi="宋体" w:cs="宋体"/>
          <w:b/>
          <w:bCs/>
          <w:sz w:val="28"/>
          <w:szCs w:val="28"/>
        </w:rPr>
        <w:t>及售后</w:t>
      </w:r>
      <w:r>
        <w:rPr>
          <w:rFonts w:hint="eastAsia" w:hAnsi="宋体" w:cs="宋体"/>
          <w:b/>
          <w:bCs/>
          <w:sz w:val="28"/>
          <w:szCs w:val="28"/>
        </w:rPr>
        <w:t>服务承诺书</w:t>
      </w:r>
    </w:p>
    <w:p>
      <w:pPr>
        <w:pStyle w:val="3"/>
        <w:tabs>
          <w:tab w:val="left" w:pos="432"/>
        </w:tabs>
        <w:spacing w:line="480" w:lineRule="exact"/>
        <w:rPr>
          <w:rFonts w:ascii="宋体" w:hAnsi="宋体" w:cs="宋体"/>
          <w:b w:val="0"/>
          <w:bCs/>
          <w:szCs w:val="32"/>
        </w:rPr>
      </w:pPr>
    </w:p>
    <w:p>
      <w:pPr>
        <w:jc w:val="center"/>
        <w:rPr>
          <w:b/>
          <w:sz w:val="28"/>
          <w:szCs w:val="28"/>
        </w:rPr>
      </w:pPr>
      <w:r>
        <w:rPr>
          <w:rFonts w:hint="eastAsia"/>
          <w:b/>
          <w:sz w:val="28"/>
          <w:szCs w:val="28"/>
        </w:rPr>
        <w:t>质保</w:t>
      </w:r>
      <w:r>
        <w:rPr>
          <w:b/>
          <w:sz w:val="28"/>
          <w:szCs w:val="28"/>
        </w:rPr>
        <w:t>及售后</w:t>
      </w:r>
      <w:r>
        <w:rPr>
          <w:rFonts w:hint="eastAsia"/>
          <w:b/>
          <w:sz w:val="28"/>
          <w:szCs w:val="28"/>
        </w:rPr>
        <w:t>服务承诺书</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服务承诺如下：</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质保</w:t>
      </w:r>
      <w:r>
        <w:rPr>
          <w:rFonts w:ascii="宋体" w:hAnsi="宋体" w:cs="宋体"/>
          <w:sz w:val="24"/>
          <w:szCs w:val="24"/>
        </w:rPr>
        <w:t>承诺如下：</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3"/>
      </w:pPr>
      <w:bookmarkStart w:id="9" w:name="_Toc17536931"/>
      <w:r>
        <w:rPr>
          <w:rFonts w:hint="eastAsia"/>
        </w:rPr>
        <w:t>友 情 提 醒</w:t>
      </w:r>
      <w:bookmarkEnd w:id="9"/>
    </w:p>
    <w:p>
      <w:pPr>
        <w:spacing w:line="420" w:lineRule="exact"/>
        <w:rPr>
          <w:rFonts w:ascii="宋体" w:hAnsi="宋体" w:cs="宋体"/>
          <w:sz w:val="24"/>
          <w:szCs w:val="24"/>
        </w:rPr>
      </w:pPr>
      <w:r>
        <w:rPr>
          <w:rFonts w:hint="eastAsia" w:ascii="宋体" w:hAnsi="宋体" w:cs="宋体"/>
          <w:sz w:val="24"/>
          <w:szCs w:val="24"/>
        </w:rPr>
        <w:t>各供应商：</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为了提高贵单位谈判</w:t>
      </w:r>
      <w:r>
        <w:rPr>
          <w:rFonts w:ascii="宋体" w:hAnsi="宋体" w:cs="宋体"/>
          <w:sz w:val="24"/>
          <w:szCs w:val="24"/>
        </w:rPr>
        <w:t>响应文件的</w:t>
      </w:r>
      <w:r>
        <w:rPr>
          <w:rFonts w:hint="eastAsia" w:ascii="宋体" w:hAnsi="宋体" w:cs="宋体"/>
          <w:sz w:val="24"/>
          <w:szCs w:val="24"/>
        </w:rPr>
        <w:t>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1.请谨记竞争性谈判文件上表述的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谈判时间和地点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2.谈判保证金一定要从</w:t>
      </w:r>
      <w:r>
        <w:rPr>
          <w:rFonts w:hint="eastAsia" w:ascii="宋体" w:hAnsi="宋体" w:cs="宋体"/>
          <w:b/>
          <w:sz w:val="24"/>
          <w:szCs w:val="24"/>
        </w:rPr>
        <w:t>供应商账户</w:t>
      </w:r>
      <w:r>
        <w:rPr>
          <w:rFonts w:hint="eastAsia" w:ascii="宋体" w:hAnsi="宋体" w:cs="宋体"/>
          <w:sz w:val="24"/>
          <w:szCs w:val="24"/>
        </w:rPr>
        <w:t>按竞争性谈判文件规定的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指定账户并到账</w:t>
      </w:r>
      <w:r>
        <w:rPr>
          <w:rFonts w:hint="eastAsia" w:ascii="宋体" w:hAnsi="宋体" w:cs="宋体"/>
          <w:sz w:val="24"/>
          <w:szCs w:val="24"/>
        </w:rPr>
        <w:t>，拒绝以其它方式缴纳，禁止第三方代缴保证金。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谈判响应文件</w:t>
      </w:r>
      <w:r>
        <w:rPr>
          <w:rFonts w:hint="eastAsia" w:ascii="宋体" w:hAnsi="宋体" w:cs="宋体"/>
          <w:b/>
          <w:sz w:val="24"/>
          <w:szCs w:val="24"/>
        </w:rPr>
        <w:t>正本和副本应当密封，电子光盘</w:t>
      </w:r>
      <w:r>
        <w:rPr>
          <w:rFonts w:ascii="宋体" w:hAnsi="宋体" w:cs="宋体"/>
          <w:b/>
          <w:sz w:val="24"/>
          <w:szCs w:val="24"/>
        </w:rPr>
        <w:t>应当</w:t>
      </w:r>
      <w:r>
        <w:rPr>
          <w:rFonts w:hint="eastAsia" w:ascii="宋体" w:hAnsi="宋体" w:cs="宋体"/>
          <w:b/>
          <w:sz w:val="24"/>
          <w:szCs w:val="24"/>
        </w:rPr>
        <w:t>单独密封，</w:t>
      </w:r>
      <w:r>
        <w:rPr>
          <w:rFonts w:hint="eastAsia" w:ascii="宋体" w:hAnsi="宋体" w:cs="宋体"/>
          <w:sz w:val="24"/>
          <w:szCs w:val="24"/>
        </w:rPr>
        <w:t>并在封袋上加盖</w:t>
      </w:r>
      <w:r>
        <w:rPr>
          <w:rFonts w:hint="eastAsia" w:ascii="宋体" w:hAnsi="宋体" w:cs="宋体"/>
          <w:b/>
          <w:sz w:val="24"/>
          <w:szCs w:val="24"/>
        </w:rPr>
        <w:t>供应商公章</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ascii="宋体" w:hAnsi="宋体" w:cs="宋体"/>
          <w:sz w:val="24"/>
          <w:szCs w:val="24"/>
        </w:rPr>
        <w:t>谈判</w:t>
      </w:r>
      <w:r>
        <w:rPr>
          <w:rFonts w:hint="eastAsia"/>
          <w:sz w:val="24"/>
          <w:szCs w:val="24"/>
        </w:rPr>
        <w:t>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w:t>
      </w:r>
      <w:r>
        <w:rPr>
          <w:rFonts w:hint="eastAsia" w:ascii="宋体" w:hAnsi="宋体" w:cs="宋体"/>
          <w:sz w:val="24"/>
          <w:szCs w:val="24"/>
        </w:rPr>
        <w:t>，有要求提供原件或公证件的必须将原件或公证件携带至谈判</w:t>
      </w:r>
      <w:r>
        <w:rPr>
          <w:rFonts w:ascii="宋体" w:hAnsi="宋体" w:cs="宋体"/>
          <w:sz w:val="24"/>
          <w:szCs w:val="24"/>
        </w:rPr>
        <w:t>现场备查</w:t>
      </w:r>
      <w:r>
        <w:rPr>
          <w:rFonts w:hint="eastAsia" w:ascii="宋体" w:hAnsi="宋体" w:cs="宋体"/>
          <w:sz w:val="24"/>
          <w:szCs w:val="24"/>
        </w:rPr>
        <w:t>或核查。</w:t>
      </w:r>
    </w:p>
    <w:p>
      <w:pPr>
        <w:spacing w:line="480" w:lineRule="exact"/>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.需要提供样品的，请严格按竞争性谈判文件要求提供，同时注意</w:t>
      </w:r>
      <w:r>
        <w:rPr>
          <w:rFonts w:hint="eastAsia" w:ascii="宋体" w:hAnsi="宋体" w:cs="宋体"/>
          <w:b/>
          <w:sz w:val="24"/>
          <w:szCs w:val="24"/>
        </w:rPr>
        <w:t>密封、隐蔽</w:t>
      </w:r>
      <w:r>
        <w:rPr>
          <w:rFonts w:hint="eastAsia" w:ascii="宋体" w:hAnsi="宋体" w:cs="宋体"/>
          <w:sz w:val="24"/>
          <w:szCs w:val="24"/>
        </w:rPr>
        <w:t>标签的相关要求。</w:t>
      </w:r>
    </w:p>
    <w:p>
      <w:pPr>
        <w:spacing w:line="480" w:lineRule="exact"/>
        <w:ind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.因竞争性谈判文件文字表述有限，鼓励您</w:t>
      </w:r>
      <w:r>
        <w:rPr>
          <w:rFonts w:hint="eastAsia" w:ascii="宋体" w:hAnsi="宋体" w:cs="宋体"/>
          <w:b/>
          <w:sz w:val="24"/>
          <w:szCs w:val="24"/>
        </w:rPr>
        <w:t>现场踏勘</w:t>
      </w:r>
      <w:r>
        <w:rPr>
          <w:rFonts w:hint="eastAsia" w:ascii="宋体" w:hAnsi="宋体" w:cs="宋体"/>
          <w:sz w:val="24"/>
          <w:szCs w:val="24"/>
        </w:rPr>
        <w:t>，可以在谈判前充分了解现场环境、工程进度和质量要求等信息，为贵单位有针对性的制作谈判响应文件积累充分的原始资料。</w:t>
      </w:r>
    </w:p>
    <w:p>
      <w:pPr>
        <w:spacing w:line="480" w:lineRule="exact"/>
        <w:ind w:firstLine="480" w:firstLineChars="200"/>
        <w:rPr>
          <w:rFonts w:ascii="宋体" w:hAnsi="宋体" w:cs="宋体"/>
          <w:sz w:val="24"/>
          <w:szCs w:val="24"/>
        </w:rPr>
      </w:pPr>
      <w:r>
        <w:rPr>
          <w:rFonts w:ascii="宋体" w:hAnsi="宋体" w:cs="宋体"/>
          <w:sz w:val="24"/>
          <w:szCs w:val="24"/>
        </w:rPr>
        <w:t>7</w:t>
      </w:r>
      <w:r>
        <w:rPr>
          <w:rFonts w:hint="eastAsia" w:ascii="宋体" w:hAnsi="宋体" w:cs="宋体"/>
          <w:sz w:val="24"/>
          <w:szCs w:val="24"/>
        </w:rPr>
        <w:t>.设定</w:t>
      </w:r>
      <w:r>
        <w:rPr>
          <w:rFonts w:hint="eastAsia" w:ascii="宋体" w:hAnsi="宋体" w:cs="宋体"/>
          <w:b/>
          <w:sz w:val="24"/>
          <w:szCs w:val="24"/>
        </w:rPr>
        <w:t>最高限价</w:t>
      </w:r>
      <w:r>
        <w:rPr>
          <w:rFonts w:hint="eastAsia" w:ascii="宋体" w:hAnsi="宋体" w:cs="宋体"/>
          <w:sz w:val="24"/>
          <w:szCs w:val="24"/>
        </w:rPr>
        <w:t>的，超过限价一律视为无效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8</w:t>
      </w:r>
      <w:r>
        <w:rPr>
          <w:rFonts w:hint="eastAsia" w:ascii="宋体" w:hAnsi="宋体" w:cs="宋体"/>
          <w:sz w:val="24"/>
          <w:szCs w:val="24"/>
        </w:rPr>
        <w:t>.请精心仔细</w:t>
      </w:r>
      <w:r>
        <w:rPr>
          <w:rFonts w:hint="eastAsia" w:ascii="宋体" w:hAnsi="宋体" w:cs="宋体"/>
          <w:b/>
          <w:sz w:val="24"/>
          <w:szCs w:val="24"/>
        </w:rPr>
        <w:t>审阅竞争性谈判文件,特别是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。如有疑问，请按竞争性谈判文件要求进行询疑。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最后祝贵单位投标成功！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本竞争性谈判文件的最终解释权归常州市城投建设工程招标有限公司所有。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pgSz w:w="11907" w:h="16839"/>
      <w:pgMar w:top="1440" w:right="1803" w:bottom="1440" w:left="1803" w:header="851" w:footer="992" w:gutter="0"/>
      <w:cols w:space="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16</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31</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pict>
        <v:shape id="WordPictureWatermark6388136" o:spid="_x0000_s2054" o:spt="75" type="#_x0000_t75" style="position:absolute;left:0pt;height:425.3pt;width:425.3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志"/>
          <o:lock v:ext="edit" aspectratio="t"/>
        </v:shape>
      </w:pict>
    </w:r>
    <w:r>
      <w:rPr>
        <w:rFonts w:hint="eastAsia"/>
      </w:rPr>
      <w:t>常州</w:t>
    </w:r>
    <w:r>
      <w:t>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5" o:spid="_x0000_s2053" o:spt="75" type="#_x0000_t75" style="position:absolute;left:0pt;height:425.3pt;width:425.3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4" o:spid="_x0000_s2052"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62"/>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2"/>
  </w:compat>
  <w:rsids>
    <w:rsidRoot w:val="00E937CE"/>
    <w:rsid w:val="0000020E"/>
    <w:rsid w:val="0000087D"/>
    <w:rsid w:val="00014697"/>
    <w:rsid w:val="00015726"/>
    <w:rsid w:val="00021A28"/>
    <w:rsid w:val="00022736"/>
    <w:rsid w:val="00025AD8"/>
    <w:rsid w:val="00027113"/>
    <w:rsid w:val="00031352"/>
    <w:rsid w:val="00031D9E"/>
    <w:rsid w:val="00033683"/>
    <w:rsid w:val="000362E2"/>
    <w:rsid w:val="00037EE5"/>
    <w:rsid w:val="000400AF"/>
    <w:rsid w:val="000501D8"/>
    <w:rsid w:val="00052763"/>
    <w:rsid w:val="0005295F"/>
    <w:rsid w:val="0005783A"/>
    <w:rsid w:val="0006059F"/>
    <w:rsid w:val="000617CA"/>
    <w:rsid w:val="00062B13"/>
    <w:rsid w:val="00064468"/>
    <w:rsid w:val="00074403"/>
    <w:rsid w:val="000773BD"/>
    <w:rsid w:val="00080BEF"/>
    <w:rsid w:val="00082FBD"/>
    <w:rsid w:val="00091073"/>
    <w:rsid w:val="00094B97"/>
    <w:rsid w:val="00096808"/>
    <w:rsid w:val="000A46C6"/>
    <w:rsid w:val="000A6106"/>
    <w:rsid w:val="000A7D63"/>
    <w:rsid w:val="000B0A33"/>
    <w:rsid w:val="000B6F7C"/>
    <w:rsid w:val="000C19A5"/>
    <w:rsid w:val="000C1B33"/>
    <w:rsid w:val="000D25CF"/>
    <w:rsid w:val="000D3694"/>
    <w:rsid w:val="000D3930"/>
    <w:rsid w:val="000D7DF9"/>
    <w:rsid w:val="000E08DF"/>
    <w:rsid w:val="000E17FF"/>
    <w:rsid w:val="000E1FCD"/>
    <w:rsid w:val="000E4B87"/>
    <w:rsid w:val="000E4EF7"/>
    <w:rsid w:val="000F5B78"/>
    <w:rsid w:val="000F75F5"/>
    <w:rsid w:val="0010064D"/>
    <w:rsid w:val="0011051D"/>
    <w:rsid w:val="00110C86"/>
    <w:rsid w:val="001118F3"/>
    <w:rsid w:val="00113BC7"/>
    <w:rsid w:val="00121D1D"/>
    <w:rsid w:val="001260CA"/>
    <w:rsid w:val="00132A3C"/>
    <w:rsid w:val="00134A1D"/>
    <w:rsid w:val="00141D6F"/>
    <w:rsid w:val="00153425"/>
    <w:rsid w:val="00154203"/>
    <w:rsid w:val="00156C59"/>
    <w:rsid w:val="00165E1D"/>
    <w:rsid w:val="00166978"/>
    <w:rsid w:val="001673E7"/>
    <w:rsid w:val="00167974"/>
    <w:rsid w:val="00167E08"/>
    <w:rsid w:val="00171A88"/>
    <w:rsid w:val="00172903"/>
    <w:rsid w:val="00172EAC"/>
    <w:rsid w:val="0017352F"/>
    <w:rsid w:val="00197869"/>
    <w:rsid w:val="001B007E"/>
    <w:rsid w:val="001B19F7"/>
    <w:rsid w:val="001C00FB"/>
    <w:rsid w:val="001C3A68"/>
    <w:rsid w:val="001C3DD6"/>
    <w:rsid w:val="001C764D"/>
    <w:rsid w:val="001D450E"/>
    <w:rsid w:val="001D7009"/>
    <w:rsid w:val="001D7A92"/>
    <w:rsid w:val="001E0EEA"/>
    <w:rsid w:val="001E3076"/>
    <w:rsid w:val="001E5028"/>
    <w:rsid w:val="001F1C79"/>
    <w:rsid w:val="00202527"/>
    <w:rsid w:val="002042F2"/>
    <w:rsid w:val="00210FC2"/>
    <w:rsid w:val="002120C2"/>
    <w:rsid w:val="00213A25"/>
    <w:rsid w:val="0022480A"/>
    <w:rsid w:val="00232FCD"/>
    <w:rsid w:val="0023309A"/>
    <w:rsid w:val="00242599"/>
    <w:rsid w:val="002472E5"/>
    <w:rsid w:val="00247710"/>
    <w:rsid w:val="0026034A"/>
    <w:rsid w:val="00263D61"/>
    <w:rsid w:val="00266CEB"/>
    <w:rsid w:val="00266CFA"/>
    <w:rsid w:val="002749DA"/>
    <w:rsid w:val="0027508A"/>
    <w:rsid w:val="0027765F"/>
    <w:rsid w:val="00277ADE"/>
    <w:rsid w:val="00285FEF"/>
    <w:rsid w:val="00287715"/>
    <w:rsid w:val="002A30FB"/>
    <w:rsid w:val="002A6B32"/>
    <w:rsid w:val="002A7B64"/>
    <w:rsid w:val="002B30F8"/>
    <w:rsid w:val="002B4A1B"/>
    <w:rsid w:val="002C030A"/>
    <w:rsid w:val="002C24F9"/>
    <w:rsid w:val="002C2C7A"/>
    <w:rsid w:val="002C3223"/>
    <w:rsid w:val="002C484D"/>
    <w:rsid w:val="002C7E8A"/>
    <w:rsid w:val="002D1E5D"/>
    <w:rsid w:val="002D29AF"/>
    <w:rsid w:val="002F220D"/>
    <w:rsid w:val="002F61FB"/>
    <w:rsid w:val="00302C7F"/>
    <w:rsid w:val="00303C56"/>
    <w:rsid w:val="00313F32"/>
    <w:rsid w:val="003221C2"/>
    <w:rsid w:val="00324022"/>
    <w:rsid w:val="00333A63"/>
    <w:rsid w:val="00334015"/>
    <w:rsid w:val="00337143"/>
    <w:rsid w:val="00341288"/>
    <w:rsid w:val="00345DA0"/>
    <w:rsid w:val="003477F7"/>
    <w:rsid w:val="00347E49"/>
    <w:rsid w:val="003513FF"/>
    <w:rsid w:val="00356B2E"/>
    <w:rsid w:val="00364168"/>
    <w:rsid w:val="0037186A"/>
    <w:rsid w:val="00386B30"/>
    <w:rsid w:val="0039207C"/>
    <w:rsid w:val="003943D6"/>
    <w:rsid w:val="003A5212"/>
    <w:rsid w:val="003B18FB"/>
    <w:rsid w:val="003B2602"/>
    <w:rsid w:val="003B5164"/>
    <w:rsid w:val="003B66C3"/>
    <w:rsid w:val="003C091A"/>
    <w:rsid w:val="003C2855"/>
    <w:rsid w:val="003C35DD"/>
    <w:rsid w:val="003D1CDB"/>
    <w:rsid w:val="003D5B83"/>
    <w:rsid w:val="003D774E"/>
    <w:rsid w:val="003E04FD"/>
    <w:rsid w:val="003E3E22"/>
    <w:rsid w:val="00400227"/>
    <w:rsid w:val="0040022F"/>
    <w:rsid w:val="004010D3"/>
    <w:rsid w:val="00402229"/>
    <w:rsid w:val="00405D93"/>
    <w:rsid w:val="0041101E"/>
    <w:rsid w:val="004137F3"/>
    <w:rsid w:val="00414FF4"/>
    <w:rsid w:val="00415602"/>
    <w:rsid w:val="0042044F"/>
    <w:rsid w:val="00425BB5"/>
    <w:rsid w:val="00427FA8"/>
    <w:rsid w:val="00442960"/>
    <w:rsid w:val="004433C7"/>
    <w:rsid w:val="0044448A"/>
    <w:rsid w:val="00450C37"/>
    <w:rsid w:val="00451792"/>
    <w:rsid w:val="00454867"/>
    <w:rsid w:val="0047598B"/>
    <w:rsid w:val="004759DA"/>
    <w:rsid w:val="004773D5"/>
    <w:rsid w:val="00485043"/>
    <w:rsid w:val="00490E88"/>
    <w:rsid w:val="004927AC"/>
    <w:rsid w:val="00492AC4"/>
    <w:rsid w:val="004944F6"/>
    <w:rsid w:val="004A1896"/>
    <w:rsid w:val="004A3382"/>
    <w:rsid w:val="004A5EAA"/>
    <w:rsid w:val="004A7C9A"/>
    <w:rsid w:val="004B2153"/>
    <w:rsid w:val="004B46BE"/>
    <w:rsid w:val="004B756D"/>
    <w:rsid w:val="004C15C1"/>
    <w:rsid w:val="004D2B9B"/>
    <w:rsid w:val="004D5E6A"/>
    <w:rsid w:val="004D7D57"/>
    <w:rsid w:val="004E5AD4"/>
    <w:rsid w:val="004F12BA"/>
    <w:rsid w:val="004F27A1"/>
    <w:rsid w:val="004F30CC"/>
    <w:rsid w:val="004F47C6"/>
    <w:rsid w:val="004F544B"/>
    <w:rsid w:val="00501DC3"/>
    <w:rsid w:val="00504DE6"/>
    <w:rsid w:val="00512DE9"/>
    <w:rsid w:val="005421D2"/>
    <w:rsid w:val="005464E8"/>
    <w:rsid w:val="0054726A"/>
    <w:rsid w:val="00551636"/>
    <w:rsid w:val="005516A4"/>
    <w:rsid w:val="00554027"/>
    <w:rsid w:val="005541D4"/>
    <w:rsid w:val="00556212"/>
    <w:rsid w:val="005650A3"/>
    <w:rsid w:val="005661CE"/>
    <w:rsid w:val="00571084"/>
    <w:rsid w:val="00571CB0"/>
    <w:rsid w:val="00571F65"/>
    <w:rsid w:val="005756EF"/>
    <w:rsid w:val="00575A46"/>
    <w:rsid w:val="0057623B"/>
    <w:rsid w:val="0057795C"/>
    <w:rsid w:val="0058076B"/>
    <w:rsid w:val="005866EE"/>
    <w:rsid w:val="00590EB4"/>
    <w:rsid w:val="0059325C"/>
    <w:rsid w:val="00593FC3"/>
    <w:rsid w:val="005959ED"/>
    <w:rsid w:val="005B0394"/>
    <w:rsid w:val="005B2C04"/>
    <w:rsid w:val="005C008F"/>
    <w:rsid w:val="005C2F13"/>
    <w:rsid w:val="005C2F58"/>
    <w:rsid w:val="005C35E3"/>
    <w:rsid w:val="005C3FED"/>
    <w:rsid w:val="005C6F23"/>
    <w:rsid w:val="005D1D04"/>
    <w:rsid w:val="005D5874"/>
    <w:rsid w:val="005E0849"/>
    <w:rsid w:val="005E0DC5"/>
    <w:rsid w:val="005E7DC0"/>
    <w:rsid w:val="005F54C8"/>
    <w:rsid w:val="005F6696"/>
    <w:rsid w:val="005F6BB0"/>
    <w:rsid w:val="005F77FE"/>
    <w:rsid w:val="0060158F"/>
    <w:rsid w:val="00603C61"/>
    <w:rsid w:val="006074CE"/>
    <w:rsid w:val="00612619"/>
    <w:rsid w:val="00614241"/>
    <w:rsid w:val="006204D9"/>
    <w:rsid w:val="006228D2"/>
    <w:rsid w:val="006338D3"/>
    <w:rsid w:val="00644D03"/>
    <w:rsid w:val="00645153"/>
    <w:rsid w:val="00651A01"/>
    <w:rsid w:val="00654A58"/>
    <w:rsid w:val="006628B6"/>
    <w:rsid w:val="006629A9"/>
    <w:rsid w:val="00664303"/>
    <w:rsid w:val="00664A15"/>
    <w:rsid w:val="0066529C"/>
    <w:rsid w:val="006724B6"/>
    <w:rsid w:val="006763C4"/>
    <w:rsid w:val="006776F4"/>
    <w:rsid w:val="00677943"/>
    <w:rsid w:val="00680D29"/>
    <w:rsid w:val="00682E83"/>
    <w:rsid w:val="00684ADA"/>
    <w:rsid w:val="00685D6F"/>
    <w:rsid w:val="00685FFE"/>
    <w:rsid w:val="00690403"/>
    <w:rsid w:val="0069184F"/>
    <w:rsid w:val="006925B8"/>
    <w:rsid w:val="00692769"/>
    <w:rsid w:val="00695B63"/>
    <w:rsid w:val="006A246F"/>
    <w:rsid w:val="006A67D9"/>
    <w:rsid w:val="006B374A"/>
    <w:rsid w:val="006B3C52"/>
    <w:rsid w:val="006D1CCF"/>
    <w:rsid w:val="006D65E4"/>
    <w:rsid w:val="006E04AE"/>
    <w:rsid w:val="006E612B"/>
    <w:rsid w:val="006E63FE"/>
    <w:rsid w:val="006F3ECF"/>
    <w:rsid w:val="006F74DE"/>
    <w:rsid w:val="00703916"/>
    <w:rsid w:val="007044B5"/>
    <w:rsid w:val="007057D7"/>
    <w:rsid w:val="00706F6B"/>
    <w:rsid w:val="007079B2"/>
    <w:rsid w:val="0071123F"/>
    <w:rsid w:val="007135CC"/>
    <w:rsid w:val="00715FA8"/>
    <w:rsid w:val="0072290A"/>
    <w:rsid w:val="00727423"/>
    <w:rsid w:val="00731B9B"/>
    <w:rsid w:val="007340CA"/>
    <w:rsid w:val="00734418"/>
    <w:rsid w:val="0073477E"/>
    <w:rsid w:val="007348B4"/>
    <w:rsid w:val="00742E22"/>
    <w:rsid w:val="00744C88"/>
    <w:rsid w:val="007516C1"/>
    <w:rsid w:val="007534F6"/>
    <w:rsid w:val="007575BA"/>
    <w:rsid w:val="007602FF"/>
    <w:rsid w:val="007608FE"/>
    <w:rsid w:val="00761073"/>
    <w:rsid w:val="007626A0"/>
    <w:rsid w:val="00763489"/>
    <w:rsid w:val="00765EC9"/>
    <w:rsid w:val="00766804"/>
    <w:rsid w:val="00770320"/>
    <w:rsid w:val="00776049"/>
    <w:rsid w:val="007765C1"/>
    <w:rsid w:val="00776729"/>
    <w:rsid w:val="00783F92"/>
    <w:rsid w:val="007860B7"/>
    <w:rsid w:val="00790294"/>
    <w:rsid w:val="00790432"/>
    <w:rsid w:val="0079178C"/>
    <w:rsid w:val="00792327"/>
    <w:rsid w:val="0079762A"/>
    <w:rsid w:val="007A2C2F"/>
    <w:rsid w:val="007A316C"/>
    <w:rsid w:val="007A483E"/>
    <w:rsid w:val="007A6DDA"/>
    <w:rsid w:val="007B0053"/>
    <w:rsid w:val="007B4F3B"/>
    <w:rsid w:val="007B59D1"/>
    <w:rsid w:val="007C5AF7"/>
    <w:rsid w:val="007C7B43"/>
    <w:rsid w:val="007D07A0"/>
    <w:rsid w:val="007D361F"/>
    <w:rsid w:val="007D387B"/>
    <w:rsid w:val="007E0F98"/>
    <w:rsid w:val="007E267D"/>
    <w:rsid w:val="007E6AEB"/>
    <w:rsid w:val="007E73CA"/>
    <w:rsid w:val="007E73E2"/>
    <w:rsid w:val="007F0579"/>
    <w:rsid w:val="007F3033"/>
    <w:rsid w:val="007F3FAB"/>
    <w:rsid w:val="00807DF8"/>
    <w:rsid w:val="008177C8"/>
    <w:rsid w:val="0082199C"/>
    <w:rsid w:val="00827429"/>
    <w:rsid w:val="00831972"/>
    <w:rsid w:val="00840FB9"/>
    <w:rsid w:val="00841E4C"/>
    <w:rsid w:val="00842EFC"/>
    <w:rsid w:val="008459D0"/>
    <w:rsid w:val="00847A8A"/>
    <w:rsid w:val="00851E04"/>
    <w:rsid w:val="00853BCA"/>
    <w:rsid w:val="00862D08"/>
    <w:rsid w:val="0086511B"/>
    <w:rsid w:val="00880413"/>
    <w:rsid w:val="00882A19"/>
    <w:rsid w:val="00882C01"/>
    <w:rsid w:val="008831FB"/>
    <w:rsid w:val="008A19F0"/>
    <w:rsid w:val="008A487B"/>
    <w:rsid w:val="008B2D42"/>
    <w:rsid w:val="008B49E6"/>
    <w:rsid w:val="008B7BFA"/>
    <w:rsid w:val="008C0B52"/>
    <w:rsid w:val="008C1FFB"/>
    <w:rsid w:val="008C2512"/>
    <w:rsid w:val="008C5C2E"/>
    <w:rsid w:val="008D27F3"/>
    <w:rsid w:val="008E4EBC"/>
    <w:rsid w:val="008F020A"/>
    <w:rsid w:val="008F1B90"/>
    <w:rsid w:val="00904884"/>
    <w:rsid w:val="00915016"/>
    <w:rsid w:val="00921ABC"/>
    <w:rsid w:val="009243C7"/>
    <w:rsid w:val="00925C02"/>
    <w:rsid w:val="00925D20"/>
    <w:rsid w:val="009275A0"/>
    <w:rsid w:val="00932433"/>
    <w:rsid w:val="00934CB5"/>
    <w:rsid w:val="00941997"/>
    <w:rsid w:val="00942124"/>
    <w:rsid w:val="00943B14"/>
    <w:rsid w:val="00945234"/>
    <w:rsid w:val="00946F9E"/>
    <w:rsid w:val="009504E4"/>
    <w:rsid w:val="00963209"/>
    <w:rsid w:val="0096433A"/>
    <w:rsid w:val="00967DD6"/>
    <w:rsid w:val="00971C97"/>
    <w:rsid w:val="00980674"/>
    <w:rsid w:val="009847A3"/>
    <w:rsid w:val="00993315"/>
    <w:rsid w:val="00993B6B"/>
    <w:rsid w:val="00995AEA"/>
    <w:rsid w:val="009960A6"/>
    <w:rsid w:val="009964CA"/>
    <w:rsid w:val="009A15E2"/>
    <w:rsid w:val="009A1A5F"/>
    <w:rsid w:val="009B1E2B"/>
    <w:rsid w:val="009B72D0"/>
    <w:rsid w:val="009D0353"/>
    <w:rsid w:val="009D3388"/>
    <w:rsid w:val="009F501D"/>
    <w:rsid w:val="00A051E1"/>
    <w:rsid w:val="00A054A4"/>
    <w:rsid w:val="00A113AA"/>
    <w:rsid w:val="00A1185C"/>
    <w:rsid w:val="00A1398D"/>
    <w:rsid w:val="00A13BE0"/>
    <w:rsid w:val="00A1415F"/>
    <w:rsid w:val="00A16641"/>
    <w:rsid w:val="00A20DDD"/>
    <w:rsid w:val="00A23546"/>
    <w:rsid w:val="00A30517"/>
    <w:rsid w:val="00A371CF"/>
    <w:rsid w:val="00A4323F"/>
    <w:rsid w:val="00A44777"/>
    <w:rsid w:val="00A44B7C"/>
    <w:rsid w:val="00A477E5"/>
    <w:rsid w:val="00A5793F"/>
    <w:rsid w:val="00A61053"/>
    <w:rsid w:val="00A61C0E"/>
    <w:rsid w:val="00A61F06"/>
    <w:rsid w:val="00A73E6D"/>
    <w:rsid w:val="00A8259B"/>
    <w:rsid w:val="00A82EB0"/>
    <w:rsid w:val="00A87DF3"/>
    <w:rsid w:val="00A9069B"/>
    <w:rsid w:val="00A95E94"/>
    <w:rsid w:val="00AA2F75"/>
    <w:rsid w:val="00AA3097"/>
    <w:rsid w:val="00AA6613"/>
    <w:rsid w:val="00AB3719"/>
    <w:rsid w:val="00AC4E0E"/>
    <w:rsid w:val="00AC4FF5"/>
    <w:rsid w:val="00AD14BE"/>
    <w:rsid w:val="00AD4C39"/>
    <w:rsid w:val="00AD78AF"/>
    <w:rsid w:val="00AE1260"/>
    <w:rsid w:val="00AE36FD"/>
    <w:rsid w:val="00AE4947"/>
    <w:rsid w:val="00AE5085"/>
    <w:rsid w:val="00AE60E7"/>
    <w:rsid w:val="00AE68FB"/>
    <w:rsid w:val="00AF0CF6"/>
    <w:rsid w:val="00AF2C0A"/>
    <w:rsid w:val="00AF3FA0"/>
    <w:rsid w:val="00AF5587"/>
    <w:rsid w:val="00B049A6"/>
    <w:rsid w:val="00B06014"/>
    <w:rsid w:val="00B06F8F"/>
    <w:rsid w:val="00B103A6"/>
    <w:rsid w:val="00B1119D"/>
    <w:rsid w:val="00B123C7"/>
    <w:rsid w:val="00B1336D"/>
    <w:rsid w:val="00B13E27"/>
    <w:rsid w:val="00B144D2"/>
    <w:rsid w:val="00B16CBB"/>
    <w:rsid w:val="00B26522"/>
    <w:rsid w:val="00B356FB"/>
    <w:rsid w:val="00B35EFF"/>
    <w:rsid w:val="00B43A54"/>
    <w:rsid w:val="00B55D1C"/>
    <w:rsid w:val="00B5677F"/>
    <w:rsid w:val="00B601B1"/>
    <w:rsid w:val="00B63A6E"/>
    <w:rsid w:val="00B6458B"/>
    <w:rsid w:val="00B64F1C"/>
    <w:rsid w:val="00B743B4"/>
    <w:rsid w:val="00B74A1B"/>
    <w:rsid w:val="00B803DE"/>
    <w:rsid w:val="00B84568"/>
    <w:rsid w:val="00B85831"/>
    <w:rsid w:val="00B860CA"/>
    <w:rsid w:val="00B93885"/>
    <w:rsid w:val="00BA145D"/>
    <w:rsid w:val="00BA14A0"/>
    <w:rsid w:val="00BA2EA9"/>
    <w:rsid w:val="00BA404F"/>
    <w:rsid w:val="00BA55D9"/>
    <w:rsid w:val="00BB2020"/>
    <w:rsid w:val="00BC1206"/>
    <w:rsid w:val="00BC2F12"/>
    <w:rsid w:val="00BC2FAB"/>
    <w:rsid w:val="00BD1943"/>
    <w:rsid w:val="00BD1A1E"/>
    <w:rsid w:val="00BD6A6A"/>
    <w:rsid w:val="00BE660A"/>
    <w:rsid w:val="00BF1FB4"/>
    <w:rsid w:val="00BF22A3"/>
    <w:rsid w:val="00BF231A"/>
    <w:rsid w:val="00BF2E7F"/>
    <w:rsid w:val="00BF313A"/>
    <w:rsid w:val="00C014F1"/>
    <w:rsid w:val="00C06032"/>
    <w:rsid w:val="00C066EE"/>
    <w:rsid w:val="00C106E4"/>
    <w:rsid w:val="00C15C4F"/>
    <w:rsid w:val="00C16ACA"/>
    <w:rsid w:val="00C179AF"/>
    <w:rsid w:val="00C208FC"/>
    <w:rsid w:val="00C3105D"/>
    <w:rsid w:val="00C31D2F"/>
    <w:rsid w:val="00C31F3D"/>
    <w:rsid w:val="00C40DA3"/>
    <w:rsid w:val="00C42733"/>
    <w:rsid w:val="00C43A2A"/>
    <w:rsid w:val="00C46BC1"/>
    <w:rsid w:val="00C51645"/>
    <w:rsid w:val="00C53B3B"/>
    <w:rsid w:val="00C6050B"/>
    <w:rsid w:val="00C6099E"/>
    <w:rsid w:val="00C609D5"/>
    <w:rsid w:val="00C63A28"/>
    <w:rsid w:val="00C6597B"/>
    <w:rsid w:val="00C735BC"/>
    <w:rsid w:val="00C772FE"/>
    <w:rsid w:val="00C81B43"/>
    <w:rsid w:val="00C83DDA"/>
    <w:rsid w:val="00C85891"/>
    <w:rsid w:val="00C87F49"/>
    <w:rsid w:val="00C90014"/>
    <w:rsid w:val="00C9009E"/>
    <w:rsid w:val="00C93F3E"/>
    <w:rsid w:val="00C95033"/>
    <w:rsid w:val="00C957F6"/>
    <w:rsid w:val="00C96167"/>
    <w:rsid w:val="00CA2EF7"/>
    <w:rsid w:val="00CA5133"/>
    <w:rsid w:val="00CA6455"/>
    <w:rsid w:val="00CB2444"/>
    <w:rsid w:val="00CB5E0C"/>
    <w:rsid w:val="00CC2906"/>
    <w:rsid w:val="00CC5845"/>
    <w:rsid w:val="00CC6546"/>
    <w:rsid w:val="00CC786F"/>
    <w:rsid w:val="00CE66CB"/>
    <w:rsid w:val="00CF2016"/>
    <w:rsid w:val="00D014E9"/>
    <w:rsid w:val="00D1202C"/>
    <w:rsid w:val="00D223F3"/>
    <w:rsid w:val="00D22570"/>
    <w:rsid w:val="00D271E5"/>
    <w:rsid w:val="00D30F41"/>
    <w:rsid w:val="00D32BAE"/>
    <w:rsid w:val="00D37650"/>
    <w:rsid w:val="00D37EC7"/>
    <w:rsid w:val="00D426E3"/>
    <w:rsid w:val="00D50127"/>
    <w:rsid w:val="00D521AD"/>
    <w:rsid w:val="00D55837"/>
    <w:rsid w:val="00D640FC"/>
    <w:rsid w:val="00D6678A"/>
    <w:rsid w:val="00D85651"/>
    <w:rsid w:val="00D85999"/>
    <w:rsid w:val="00D91E0F"/>
    <w:rsid w:val="00D92601"/>
    <w:rsid w:val="00D927E3"/>
    <w:rsid w:val="00DA15C0"/>
    <w:rsid w:val="00DA6612"/>
    <w:rsid w:val="00DA69EE"/>
    <w:rsid w:val="00DB560A"/>
    <w:rsid w:val="00DB7D08"/>
    <w:rsid w:val="00DC4CBE"/>
    <w:rsid w:val="00DC6031"/>
    <w:rsid w:val="00DD02E3"/>
    <w:rsid w:val="00DD3DF3"/>
    <w:rsid w:val="00DD4CA0"/>
    <w:rsid w:val="00DE2416"/>
    <w:rsid w:val="00DE3927"/>
    <w:rsid w:val="00DE6510"/>
    <w:rsid w:val="00DF0A2C"/>
    <w:rsid w:val="00DF10A7"/>
    <w:rsid w:val="00DF19DF"/>
    <w:rsid w:val="00DF3950"/>
    <w:rsid w:val="00DF7395"/>
    <w:rsid w:val="00DF7920"/>
    <w:rsid w:val="00E009B9"/>
    <w:rsid w:val="00E03D41"/>
    <w:rsid w:val="00E16E91"/>
    <w:rsid w:val="00E3083D"/>
    <w:rsid w:val="00E311BE"/>
    <w:rsid w:val="00E3247F"/>
    <w:rsid w:val="00E33168"/>
    <w:rsid w:val="00E33374"/>
    <w:rsid w:val="00E3545A"/>
    <w:rsid w:val="00E412A9"/>
    <w:rsid w:val="00E41B85"/>
    <w:rsid w:val="00E45D9D"/>
    <w:rsid w:val="00E5716A"/>
    <w:rsid w:val="00E630C8"/>
    <w:rsid w:val="00E761B9"/>
    <w:rsid w:val="00E86818"/>
    <w:rsid w:val="00E910F9"/>
    <w:rsid w:val="00E91D2B"/>
    <w:rsid w:val="00E937CE"/>
    <w:rsid w:val="00EA0CE9"/>
    <w:rsid w:val="00EA1A1A"/>
    <w:rsid w:val="00EA2673"/>
    <w:rsid w:val="00EA7253"/>
    <w:rsid w:val="00EC4EFB"/>
    <w:rsid w:val="00EC59F9"/>
    <w:rsid w:val="00ED0854"/>
    <w:rsid w:val="00ED1DC8"/>
    <w:rsid w:val="00ED47AF"/>
    <w:rsid w:val="00EE1BF4"/>
    <w:rsid w:val="00EE460F"/>
    <w:rsid w:val="00EF027B"/>
    <w:rsid w:val="00EF46DA"/>
    <w:rsid w:val="00EF4DD9"/>
    <w:rsid w:val="00F00911"/>
    <w:rsid w:val="00F011E9"/>
    <w:rsid w:val="00F01C02"/>
    <w:rsid w:val="00F03675"/>
    <w:rsid w:val="00F064EB"/>
    <w:rsid w:val="00F06849"/>
    <w:rsid w:val="00F10750"/>
    <w:rsid w:val="00F13A0D"/>
    <w:rsid w:val="00F14487"/>
    <w:rsid w:val="00F14787"/>
    <w:rsid w:val="00F14E71"/>
    <w:rsid w:val="00F16110"/>
    <w:rsid w:val="00F16D31"/>
    <w:rsid w:val="00F2565D"/>
    <w:rsid w:val="00F371B5"/>
    <w:rsid w:val="00F4107B"/>
    <w:rsid w:val="00F41705"/>
    <w:rsid w:val="00F44BD4"/>
    <w:rsid w:val="00F46988"/>
    <w:rsid w:val="00F46A79"/>
    <w:rsid w:val="00F52542"/>
    <w:rsid w:val="00F52F85"/>
    <w:rsid w:val="00F64D1A"/>
    <w:rsid w:val="00F73EC9"/>
    <w:rsid w:val="00F75611"/>
    <w:rsid w:val="00F80D15"/>
    <w:rsid w:val="00F92956"/>
    <w:rsid w:val="00F93D31"/>
    <w:rsid w:val="00F970D1"/>
    <w:rsid w:val="00FA2B9D"/>
    <w:rsid w:val="00FA6662"/>
    <w:rsid w:val="00FB0DE5"/>
    <w:rsid w:val="00FB2BB4"/>
    <w:rsid w:val="00FB3F66"/>
    <w:rsid w:val="00FC2CCE"/>
    <w:rsid w:val="00FC768F"/>
    <w:rsid w:val="00FD3CDA"/>
    <w:rsid w:val="00FD7E1B"/>
    <w:rsid w:val="00FE1F11"/>
    <w:rsid w:val="00FE3BEB"/>
    <w:rsid w:val="00FF1023"/>
    <w:rsid w:val="00FF25DB"/>
    <w:rsid w:val="00FF3A44"/>
    <w:rsid w:val="00FF4956"/>
    <w:rsid w:val="00FF5702"/>
    <w:rsid w:val="12C7301F"/>
    <w:rsid w:val="17457C12"/>
    <w:rsid w:val="19162C1B"/>
    <w:rsid w:val="1BE42505"/>
    <w:rsid w:val="1DF57F7B"/>
    <w:rsid w:val="20E659FD"/>
    <w:rsid w:val="248723FA"/>
    <w:rsid w:val="286F7549"/>
    <w:rsid w:val="2F8B0701"/>
    <w:rsid w:val="35D36496"/>
    <w:rsid w:val="36B87C41"/>
    <w:rsid w:val="3BC47E7A"/>
    <w:rsid w:val="3E3F3A1A"/>
    <w:rsid w:val="42DF0A26"/>
    <w:rsid w:val="450E779C"/>
    <w:rsid w:val="576D1CF5"/>
    <w:rsid w:val="58D60B34"/>
    <w:rsid w:val="5C12431D"/>
    <w:rsid w:val="62B51B14"/>
    <w:rsid w:val="65083EEA"/>
    <w:rsid w:val="6FD13A62"/>
    <w:rsid w:val="71181AB0"/>
    <w:rsid w:val="756141E1"/>
    <w:rsid w:val="789627A5"/>
    <w:rsid w:val="78FA5E8F"/>
    <w:rsid w:val="7C02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9"/>
    <w:qFormat/>
    <w:uiPriority w:val="0"/>
    <w:pPr>
      <w:spacing w:after="120"/>
    </w:pPr>
    <w:rPr>
      <w:szCs w:val="24"/>
    </w:rPr>
  </w:style>
  <w:style w:type="paragraph" w:styleId="6">
    <w:name w:val="Normal Indent"/>
    <w:basedOn w:val="1"/>
    <w:next w:val="1"/>
    <w:link w:val="55"/>
    <w:qFormat/>
    <w:uiPriority w:val="0"/>
    <w:pPr>
      <w:autoSpaceDE w:val="0"/>
      <w:autoSpaceDN w:val="0"/>
      <w:adjustRightInd w:val="0"/>
      <w:ind w:firstLine="420"/>
    </w:pPr>
    <w:rPr>
      <w:rFonts w:ascii="宋体"/>
      <w:sz w:val="24"/>
    </w:rPr>
  </w:style>
  <w:style w:type="paragraph" w:styleId="7">
    <w:name w:val="Document Map"/>
    <w:basedOn w:val="1"/>
    <w:link w:val="36"/>
    <w:unhideWhenUsed/>
    <w:qFormat/>
    <w:uiPriority w:val="99"/>
    <w:rPr>
      <w:rFonts w:ascii="宋体" w:hAnsiTheme="minorHAnsi" w:cstheme="minorBidi"/>
      <w:sz w:val="18"/>
      <w:szCs w:val="18"/>
    </w:rPr>
  </w:style>
  <w:style w:type="paragraph" w:styleId="8">
    <w:name w:val="annotation text"/>
    <w:basedOn w:val="1"/>
    <w:link w:val="37"/>
    <w:unhideWhenUsed/>
    <w:qFormat/>
    <w:uiPriority w:val="0"/>
    <w:pPr>
      <w:jc w:val="left"/>
    </w:pPr>
  </w:style>
  <w:style w:type="paragraph" w:styleId="9">
    <w:name w:val="Body Text Indent"/>
    <w:basedOn w:val="1"/>
    <w:next w:val="1"/>
    <w:link w:val="40"/>
    <w:qFormat/>
    <w:uiPriority w:val="0"/>
    <w:pPr>
      <w:spacing w:line="440" w:lineRule="exact"/>
      <w:ind w:firstLine="196" w:firstLineChars="196"/>
    </w:pPr>
    <w:rPr>
      <w:rFonts w:ascii="宋体" w:cs="Century"/>
      <w:spacing w:val="2"/>
      <w:szCs w:val="24"/>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8"/>
    <w:next w:val="8"/>
    <w:link w:val="38"/>
    <w:unhideWhenUsed/>
    <w:qFormat/>
    <w:uiPriority w:val="99"/>
    <w:rPr>
      <w:rFonts w:asciiTheme="minorHAnsi" w:hAnsiTheme="minorHAnsi" w:cstheme="minorBidi"/>
      <w:b/>
      <w:bCs/>
      <w:szCs w:val="22"/>
    </w:rPr>
  </w:style>
  <w:style w:type="table" w:styleId="22">
    <w:name w:val="Table Grid"/>
    <w:basedOn w:val="21"/>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0"/>
    <w:rPr>
      <w:sz w:val="21"/>
      <w:szCs w:val="21"/>
    </w:rPr>
  </w:style>
  <w:style w:type="character" w:customStyle="1" w:styleId="27">
    <w:name w:val="标题 1 Char"/>
    <w:basedOn w:val="23"/>
    <w:link w:val="3"/>
    <w:qFormat/>
    <w:uiPriority w:val="0"/>
    <w:rPr>
      <w:rFonts w:ascii="黑体" w:hAnsi="Times New Roman" w:eastAsia="宋体" w:cs="Times New Roman"/>
      <w:b/>
      <w:kern w:val="2"/>
      <w:sz w:val="32"/>
      <w:szCs w:val="24"/>
    </w:rPr>
  </w:style>
  <w:style w:type="character" w:customStyle="1" w:styleId="28">
    <w:name w:val="标题 2 Char"/>
    <w:basedOn w:val="23"/>
    <w:link w:val="4"/>
    <w:qFormat/>
    <w:uiPriority w:val="0"/>
    <w:rPr>
      <w:rFonts w:ascii="Arial" w:hAnsi="Arial" w:eastAsia="黑体" w:cs="Times New Roman"/>
      <w:b/>
      <w:sz w:val="32"/>
      <w:szCs w:val="20"/>
    </w:rPr>
  </w:style>
  <w:style w:type="character" w:customStyle="1" w:styleId="29">
    <w:name w:val="标题 3 Char"/>
    <w:basedOn w:val="23"/>
    <w:link w:val="5"/>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7"/>
    <w:semiHidden/>
    <w:qFormat/>
    <w:uiPriority w:val="99"/>
    <w:rPr>
      <w:rFonts w:ascii="宋体" w:hAnsi="Times New Roman" w:eastAsia="宋体" w:cs="Times New Roman"/>
      <w:sz w:val="18"/>
      <w:szCs w:val="18"/>
    </w:rPr>
  </w:style>
  <w:style w:type="character" w:customStyle="1" w:styleId="37">
    <w:name w:val="批注文字 Char1"/>
    <w:basedOn w:val="23"/>
    <w:link w:val="8"/>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2"/>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6"/>
    <w:qFormat/>
    <w:uiPriority w:val="0"/>
    <w:rPr>
      <w:rFonts w:ascii="宋体" w:hAnsi="Times New Roman" w:eastAsia="宋体" w:cs="Times New Roman"/>
      <w:kern w:val="2"/>
      <w:sz w:val="24"/>
    </w:rPr>
  </w:style>
  <w:style w:type="paragraph" w:customStyle="1" w:styleId="56">
    <w:name w:val="Í¼±íÕýÎÄ"/>
    <w:basedOn w:val="1"/>
    <w:next w:val="6"/>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3"/>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4"/>
    <customShpInfo spid="_x0000_s2053"/>
    <customShpInfo spid="_x0000_s2052"/>
    <customShpInfo spid="_x0000_s1041"/>
    <customShpInfo spid="_x0000_s1039"/>
    <customShpInfo spid="_x0000_s1040"/>
    <customShpInfo spid="_x0000_s104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54B762-1452-4C33-BC22-95377BACB4C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31</Pages>
  <Words>3511</Words>
  <Characters>20017</Characters>
  <Lines>166</Lines>
  <Paragraphs>46</Paragraphs>
  <TotalTime>3</TotalTime>
  <ScaleCrop>false</ScaleCrop>
  <LinksUpToDate>false</LinksUpToDate>
  <CharactersWithSpaces>23482</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2017-10-08T03:39:00Z</cp:lastPrinted>
  <dcterms:modified xsi:type="dcterms:W3CDTF">2020-07-22T08:53:56Z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