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采购项目编号：</w:t>
      </w:r>
      <w:r>
        <w:rPr>
          <w:rFonts w:hint="eastAsia" w:ascii="宋体" w:hAnsi="宋体"/>
          <w:bCs/>
          <w:sz w:val="28"/>
          <w:szCs w:val="32"/>
          <w:lang w:eastAsia="zh-CN"/>
        </w:rPr>
        <w:t>CT-SJ-2020010-4</w:t>
      </w: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采购项目名称：</w:t>
      </w:r>
      <w:r>
        <w:rPr>
          <w:rFonts w:hint="eastAsia" w:ascii="宋体" w:hAnsi="宋体"/>
          <w:bCs/>
          <w:sz w:val="28"/>
          <w:szCs w:val="32"/>
          <w:lang w:eastAsia="zh-CN"/>
        </w:rPr>
        <w:t>废旧物资处理项目</w:t>
      </w:r>
    </w:p>
    <w:p>
      <w:pPr>
        <w:adjustRightInd w:val="0"/>
        <w:snapToGrid w:val="0"/>
        <w:spacing w:line="800" w:lineRule="exact"/>
        <w:ind w:firstLine="1700" w:firstLineChars="500"/>
        <w:rPr>
          <w:rFonts w:hint="eastAsia" w:ascii="宋体" w:hAnsi="宋体" w:eastAsia="宋体"/>
          <w:bCs/>
          <w:sz w:val="28"/>
          <w:szCs w:val="32"/>
          <w:lang w:eastAsia="zh-CN"/>
        </w:rPr>
      </w:pPr>
      <w:r>
        <w:rPr>
          <w:rFonts w:hint="eastAsia" w:ascii="宋体" w:hAnsi="宋体"/>
          <w:bCs/>
          <w:spacing w:val="30"/>
          <w:sz w:val="28"/>
          <w:szCs w:val="32"/>
        </w:rPr>
        <w:t>采购人名</w:t>
      </w:r>
      <w:r>
        <w:rPr>
          <w:rFonts w:hint="eastAsia" w:ascii="宋体" w:hAnsi="宋体"/>
          <w:bCs/>
          <w:sz w:val="28"/>
          <w:szCs w:val="32"/>
        </w:rPr>
        <w:t>称：</w:t>
      </w:r>
      <w:r>
        <w:rPr>
          <w:rFonts w:hint="eastAsia" w:ascii="宋体" w:hAnsi="宋体"/>
          <w:bCs/>
          <w:sz w:val="28"/>
          <w:szCs w:val="32"/>
          <w:lang w:eastAsia="zh-CN"/>
        </w:rPr>
        <w:t>常州凤凰新城建设发展有限公司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w w:val="90"/>
          <w:sz w:val="44"/>
          <w:szCs w:val="44"/>
        </w:rPr>
      </w:pPr>
    </w:p>
    <w:p>
      <w:pPr>
        <w:jc w:val="center"/>
        <w:rPr>
          <w:rFonts w:ascii="宋体" w:hAnsi="宋体" w:cs="宋体"/>
          <w:w w:val="90"/>
          <w:sz w:val="44"/>
          <w:szCs w:val="44"/>
        </w:rPr>
      </w:pPr>
      <w:r>
        <w:rPr>
          <w:rFonts w:hint="eastAsia" w:ascii="宋体" w:hAnsi="宋体" w:cs="宋体"/>
          <w:w w:val="90"/>
          <w:sz w:val="44"/>
          <w:szCs w:val="44"/>
        </w:rPr>
        <w:t>二〇二〇年</w:t>
      </w:r>
      <w:r>
        <w:rPr>
          <w:rFonts w:hint="eastAsia" w:ascii="宋体" w:hAnsi="宋体" w:cs="宋体"/>
          <w:w w:val="90"/>
          <w:sz w:val="44"/>
          <w:szCs w:val="44"/>
          <w:lang w:eastAsia="zh-CN"/>
        </w:rPr>
        <w:t>六</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en-US" w:eastAsia="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价</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公</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总</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第三章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第四章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第五章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附</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情</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提</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adjustRightInd w:val="0"/>
        <w:snapToGrid w:val="0"/>
        <w:jc w:val="center"/>
        <w:rPr>
          <w:rFonts w:ascii="宋体" w:hAnsi="宋体" w:cs="宋体"/>
          <w:b/>
          <w:sz w:val="32"/>
          <w:szCs w:val="24"/>
        </w:rPr>
      </w:pPr>
      <w:r>
        <w:rPr>
          <w:rFonts w:hint="eastAsia" w:ascii="宋体" w:hAnsi="宋体" w:cs="宋体"/>
          <w:b/>
          <w:sz w:val="32"/>
          <w:szCs w:val="24"/>
          <w:lang w:eastAsia="zh-CN"/>
        </w:rPr>
        <w:t>常州凤凰新城建设发展有限公司</w:t>
      </w:r>
      <w:r>
        <w:rPr>
          <w:rFonts w:hint="eastAsia" w:ascii="宋体" w:hAnsi="宋体" w:cs="宋体"/>
          <w:b/>
          <w:sz w:val="32"/>
          <w:szCs w:val="24"/>
        </w:rPr>
        <w:t>废旧物资处理项目</w:t>
      </w:r>
    </w:p>
    <w:p>
      <w:pPr>
        <w:adjustRightInd w:val="0"/>
        <w:snapToGrid w:val="0"/>
        <w:spacing w:line="360" w:lineRule="auto"/>
        <w:jc w:val="center"/>
        <w:rPr>
          <w:rFonts w:ascii="黑体"/>
          <w:b/>
          <w:szCs w:val="21"/>
        </w:rPr>
      </w:pPr>
      <w:r>
        <w:rPr>
          <w:rFonts w:hint="eastAsia" w:ascii="宋体" w:hAnsi="宋体" w:cs="宋体"/>
          <w:b/>
          <w:sz w:val="32"/>
          <w:szCs w:val="24"/>
        </w:rPr>
        <w:t>竞价公告</w:t>
      </w:r>
    </w:p>
    <w:p>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lang w:eastAsia="zh-CN"/>
        </w:rPr>
        <w:t>常州凤凰新城建设发展有限公司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lang w:eastAsia="zh-CN"/>
        </w:rPr>
        <w:t>废旧物资处理项目</w:t>
      </w:r>
      <w:r>
        <w:rPr>
          <w:rFonts w:hint="eastAsia" w:asciiTheme="minorEastAsia" w:hAnsiTheme="minorEastAsia" w:eastAsiaTheme="minorEastAsia"/>
          <w:color w:val="000000"/>
          <w:szCs w:val="21"/>
        </w:rPr>
        <w:t>进行竞价出让，有关事项公告如下：</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废旧物资处理项目</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CT-SJ-2020010-4</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三、最低限价：人民币</w:t>
      </w:r>
      <w:bookmarkStart w:id="7" w:name="_GoBack"/>
      <w:bookmarkEnd w:id="7"/>
      <w:r>
        <w:rPr>
          <w:rFonts w:hint="eastAsia" w:asciiTheme="minorEastAsia" w:hAnsiTheme="minorEastAsia" w:eastAsiaTheme="minorEastAsia"/>
          <w:b/>
          <w:spacing w:val="2"/>
          <w:szCs w:val="21"/>
          <w:lang w:val="en-US" w:eastAsia="zh-CN"/>
        </w:rPr>
        <w:t>14823.75</w:t>
      </w:r>
      <w:r>
        <w:rPr>
          <w:rFonts w:hint="eastAsia" w:asciiTheme="minorEastAsia" w:hAnsiTheme="minorEastAsia" w:eastAsiaTheme="minorEastAsia"/>
          <w:b/>
          <w:spacing w:val="2"/>
          <w:szCs w:val="21"/>
        </w:rPr>
        <w:t>元</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hint="eastAsia" w:ascii="宋体" w:hAnsi="宋体" w:eastAsia="宋体" w:cs="宋体"/>
          <w:bCs/>
          <w:color w:val="000000"/>
          <w:szCs w:val="21"/>
          <w:lang w:eastAsia="zh-CN"/>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w:t>
      </w:r>
      <w:r>
        <w:rPr>
          <w:rFonts w:hint="eastAsia" w:ascii="宋体" w:hAnsi="宋体" w:cs="宋体"/>
          <w:color w:val="000000"/>
          <w:szCs w:val="21"/>
          <w:lang w:eastAsia="zh-CN"/>
        </w:rPr>
        <w:t>常州凤凰新城建设发展有限公司废旧物资处理项目</w:t>
      </w:r>
      <w:r>
        <w:rPr>
          <w:rFonts w:hint="eastAsia" w:ascii="宋体" w:hAnsi="宋体" w:cs="宋体"/>
          <w:color w:val="000000"/>
          <w:szCs w:val="21"/>
        </w:rPr>
        <w:t>。具体内容包括：现场收集、运输、装卸、装卸车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宋体" w:hAnsi="宋体" w:cs="宋体"/>
          <w:bCs/>
          <w:color w:val="000000"/>
          <w:szCs w:val="21"/>
          <w:lang w:eastAsia="zh-CN"/>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（二）其他资格要求：无；</w:t>
      </w:r>
    </w:p>
    <w:p>
      <w:pPr>
        <w:keepNext w:val="0"/>
        <w:keepLines w:val="0"/>
        <w:pageBreakBefore w:val="0"/>
        <w:widowControl w:val="0"/>
        <w:kinsoku/>
        <w:wordWrap/>
        <w:topLinePunct w:val="0"/>
        <w:autoSpaceDE/>
        <w:autoSpaceDN/>
        <w:bidi w:val="0"/>
        <w:adjustRightInd w:val="0"/>
        <w:snapToGrid w:val="0"/>
        <w:spacing w:line="360" w:lineRule="exact"/>
        <w:ind w:left="420" w:leftChars="200"/>
        <w:textAlignment w:val="auto"/>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6</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10</w:t>
      </w:r>
      <w:r>
        <w:rPr>
          <w:rFonts w:hint="eastAsia" w:cs="宋体" w:asciiTheme="minorEastAsia" w:hAnsiTheme="minorEastAsia" w:eastAsiaTheme="minorEastAsia"/>
          <w:b/>
          <w:bCs/>
          <w:szCs w:val="21"/>
        </w:rPr>
        <w:t>日</w:t>
      </w:r>
      <w:r>
        <w:rPr>
          <w:rFonts w:hint="eastAsia" w:cs="宋体" w:asciiTheme="minorEastAsia" w:hAnsiTheme="minorEastAsia" w:eastAsiaTheme="minorEastAsia"/>
          <w:b/>
          <w:bCs/>
          <w:kern w:val="0"/>
          <w:szCs w:val="21"/>
        </w:rPr>
        <w:t>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lang w:eastAsia="zh-CN"/>
        </w:rPr>
        <w:t>七</w:t>
      </w:r>
      <w:r>
        <w:rPr>
          <w:rFonts w:hint="eastAsia" w:cs="宋体" w:asciiTheme="minorEastAsia" w:hAnsiTheme="minorEastAsia" w:eastAsiaTheme="minorEastAsia"/>
          <w:b/>
          <w:color w:val="auto"/>
          <w:szCs w:val="21"/>
        </w:rPr>
        <w:t>、现场</w:t>
      </w:r>
      <w:r>
        <w:rPr>
          <w:rFonts w:cs="宋体" w:asciiTheme="minorEastAsia" w:hAnsiTheme="minorEastAsia" w:eastAsiaTheme="minorEastAsia"/>
          <w:b/>
          <w:color w:val="auto"/>
          <w:szCs w:val="21"/>
        </w:rPr>
        <w:t>踏勘</w:t>
      </w:r>
      <w:r>
        <w:rPr>
          <w:rFonts w:hint="eastAsia" w:cs="宋体" w:asciiTheme="minorEastAsia" w:hAnsiTheme="minorEastAsia" w:eastAsiaTheme="minorEastAsia"/>
          <w:b/>
          <w:color w:val="auto"/>
          <w:szCs w:val="21"/>
        </w:rPr>
        <w:t>及标前答疑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rPr>
        <w:t xml:space="preserve"> 如有需要，竞价人可自行踏勘现场。</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bCs/>
          <w:color w:val="auto"/>
          <w:szCs w:val="21"/>
        </w:rPr>
      </w:pPr>
      <w:r>
        <w:rPr>
          <w:rFonts w:cs="宋体" w:asciiTheme="minorEastAsia" w:hAnsiTheme="minorEastAsia" w:eastAsiaTheme="minorEastAsia"/>
          <w:color w:val="auto"/>
          <w:szCs w:val="21"/>
        </w:rPr>
        <w:t>2.</w:t>
      </w:r>
      <w:r>
        <w:rPr>
          <w:rFonts w:hint="eastAsia"/>
          <w:color w:val="auto"/>
        </w:rPr>
        <w:t xml:space="preserve"> </w:t>
      </w:r>
      <w:r>
        <w:rPr>
          <w:rFonts w:hint="eastAsia" w:cs="宋体" w:asciiTheme="minorEastAsia" w:hAnsiTheme="minorEastAsia" w:eastAsiaTheme="minorEastAsia"/>
          <w:color w:val="auto"/>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八、竞价保证金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竞价保证金数额：</w:t>
      </w:r>
      <w:r>
        <w:rPr>
          <w:rFonts w:hint="eastAsia" w:cs="宋体" w:asciiTheme="minorEastAsia" w:hAnsiTheme="minorEastAsia" w:eastAsiaTheme="minorEastAsia"/>
          <w:b/>
          <w:color w:val="auto"/>
          <w:szCs w:val="21"/>
        </w:rPr>
        <w:t>人民币叁仟</w:t>
      </w:r>
      <w:r>
        <w:rPr>
          <w:rFonts w:hint="eastAsia" w:cs="宋体" w:asciiTheme="minorEastAsia" w:hAnsiTheme="minorEastAsia" w:eastAsiaTheme="minorEastAsia"/>
          <w:b/>
          <w:color w:val="auto"/>
          <w:szCs w:val="21"/>
          <w:lang w:eastAsia="zh-CN"/>
        </w:rPr>
        <w:t>壹佰</w:t>
      </w:r>
      <w:r>
        <w:rPr>
          <w:rFonts w:hint="eastAsia" w:cs="宋体" w:asciiTheme="minorEastAsia" w:hAnsiTheme="minorEastAsia" w:eastAsiaTheme="minorEastAsia"/>
          <w:b/>
          <w:color w:val="auto"/>
          <w:szCs w:val="21"/>
        </w:rPr>
        <w:t>元整</w:t>
      </w:r>
    </w:p>
    <w:p>
      <w:pPr>
        <w:keepNext w:val="0"/>
        <w:keepLines w:val="0"/>
        <w:pageBreakBefore w:val="0"/>
        <w:kinsoku/>
        <w:wordWrap/>
        <w:topLinePunct w:val="0"/>
        <w:autoSpaceDE/>
        <w:autoSpaceDN/>
        <w:bidi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w:t>
      </w:r>
      <w:r>
        <w:rPr>
          <w:rFonts w:hint="eastAsia" w:cs="宋体" w:asciiTheme="minorEastAsia" w:hAnsiTheme="minorEastAsia" w:eastAsiaTheme="minorEastAsia"/>
          <w:b/>
          <w:color w:val="auto"/>
          <w:szCs w:val="21"/>
        </w:rPr>
        <w:t>到账截止时间</w:t>
      </w:r>
      <w:r>
        <w:rPr>
          <w:rFonts w:hint="eastAsia" w:cs="宋体" w:asciiTheme="minorEastAsia" w:hAnsiTheme="minorEastAsia" w:eastAsiaTheme="minorEastAsia"/>
          <w:color w:val="auto"/>
          <w:szCs w:val="21"/>
        </w:rPr>
        <w:t>：</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6</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8</w:t>
      </w:r>
      <w:r>
        <w:rPr>
          <w:rFonts w:hint="eastAsia" w:cs="宋体" w:asciiTheme="minorEastAsia" w:hAnsiTheme="minorEastAsia" w:eastAsiaTheme="minorEastAsia"/>
          <w:b/>
          <w:bCs/>
          <w:szCs w:val="21"/>
        </w:rPr>
        <w:t>日</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竞价保证金交纳方式：银行电汇或转账</w:t>
      </w:r>
      <w:r>
        <w:rPr>
          <w:rFonts w:hint="eastAsia" w:cs="宋体" w:asciiTheme="minorEastAsia" w:hAnsiTheme="minorEastAsia" w:eastAsiaTheme="minorEastAsia"/>
          <w:b/>
          <w:bCs/>
          <w:color w:val="auto"/>
          <w:szCs w:val="21"/>
        </w:rPr>
        <w:t>（备注项目编号）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kern w:val="0"/>
          <w:szCs w:val="21"/>
        </w:rPr>
        <w:t>九</w:t>
      </w:r>
      <w:r>
        <w:rPr>
          <w:rFonts w:hint="eastAsia" w:cs="宋体" w:asciiTheme="minorEastAsia" w:hAnsiTheme="minorEastAsia" w:eastAsiaTheme="minorEastAsia"/>
          <w:b/>
          <w:color w:val="auto"/>
          <w:szCs w:val="21"/>
        </w:rPr>
        <w:t>、</w:t>
      </w:r>
      <w:r>
        <w:rPr>
          <w:rFonts w:hint="eastAsia" w:asciiTheme="minorEastAsia" w:hAnsiTheme="minorEastAsia" w:eastAsiaTheme="minorEastAsia"/>
          <w:b/>
          <w:bCs/>
          <w:color w:val="auto"/>
          <w:szCs w:val="21"/>
        </w:rPr>
        <w:t>竞价响应文件提交及竞价信息</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6</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16</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14:30-15:00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竞价响应文件提交截止暨竞价时间：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6</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16</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0000FF"/>
          <w:szCs w:val="21"/>
        </w:rPr>
      </w:pPr>
      <w:r>
        <w:rPr>
          <w:rFonts w:hint="eastAsia" w:cs="宋体" w:asciiTheme="minorEastAsia" w:hAnsiTheme="minorEastAsia" w:eastAsiaTheme="minorEastAsia"/>
          <w:b/>
          <w:bCs/>
          <w:color w:val="auto"/>
          <w:szCs w:val="21"/>
        </w:rPr>
        <w:t>竞价响应文件提交地点暨竞价地点：</w:t>
      </w:r>
      <w:r>
        <w:rPr>
          <w:rFonts w:hint="eastAsia" w:cs="宋体" w:asciiTheme="minorEastAsia" w:hAnsiTheme="minorEastAsia" w:eastAsiaTheme="minorEastAsia"/>
          <w:b/>
          <w:bCs/>
          <w:color w:val="auto"/>
          <w:kern w:val="0"/>
          <w:szCs w:val="21"/>
        </w:rPr>
        <w:t>常州市城投建设工程招标有限公司（常州市新北区通江中路396号中创大厦4楼）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ascii="宋体" w:hAnsi="宋体" w:cs="宋体"/>
          <w:b/>
          <w:bCs/>
          <w:color w:val="auto"/>
          <w:szCs w:val="21"/>
        </w:rPr>
        <w:t>十</w:t>
      </w:r>
      <w:r>
        <w:rPr>
          <w:rFonts w:hint="eastAsia" w:cs="宋体" w:asciiTheme="minorEastAsia" w:hAnsiTheme="minorEastAsia" w:eastAsiaTheme="minorEastAsia"/>
          <w:b/>
          <w:color w:val="auto"/>
          <w:kern w:val="0"/>
          <w:szCs w:val="21"/>
        </w:rPr>
        <w:t>、说明</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lang w:val="en-US" w:eastAsia="zh-CN"/>
        </w:rPr>
        <w:t>1.</w:t>
      </w:r>
      <w:r>
        <w:rPr>
          <w:rFonts w:hint="eastAsia" w:cs="宋体" w:asciiTheme="minorEastAsia" w:hAnsiTheme="minorEastAsia" w:eastAsiaTheme="minorEastAsia"/>
          <w:b/>
          <w:bCs/>
          <w:color w:val="auto"/>
          <w:szCs w:val="21"/>
        </w:rPr>
        <w:t>竞价文件售后一概不退。竞价人提交的竞价响应文件概不退还。一经领购，竞价人不得更改企业或自然人名称。</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2.鉴于当前疫情，如有特殊情况，另行公告通知，请及时关注网站。</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十</w:t>
      </w:r>
      <w:r>
        <w:rPr>
          <w:rFonts w:hint="eastAsia" w:cs="宋体" w:asciiTheme="minorEastAsia" w:hAnsiTheme="minorEastAsia" w:eastAsiaTheme="minorEastAsia"/>
          <w:b/>
          <w:kern w:val="0"/>
          <w:szCs w:val="21"/>
          <w:lang w:eastAsia="zh-CN"/>
        </w:rPr>
        <w:t>一</w:t>
      </w:r>
      <w:r>
        <w:rPr>
          <w:rFonts w:hint="eastAsia" w:ascii="宋体" w:hAnsi="宋体" w:cs="宋体"/>
          <w:b/>
          <w:bCs/>
          <w:color w:val="auto"/>
          <w:szCs w:val="21"/>
        </w:rPr>
        <w:t>、常州市城投建设工程招标有限公司账户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收款单位：常州市城投建设工程招标有限公司</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开户银行：江苏银行常州新北支行</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银行账号：</w:t>
      </w:r>
      <w:r>
        <w:rPr>
          <w:rFonts w:hint="eastAsia" w:ascii="宋体" w:hAnsi="宋体"/>
          <w:color w:val="auto"/>
          <w:lang w:val="en-US" w:eastAsia="zh-CN"/>
        </w:rPr>
        <w:t xml:space="preserve">8260 </w:t>
      </w:r>
      <w:r>
        <w:rPr>
          <w:rFonts w:ascii="宋体" w:hAnsi="宋体"/>
          <w:color w:val="auto"/>
        </w:rPr>
        <w:t>0188 0002 45718</w:t>
      </w:r>
    </w:p>
    <w:p>
      <w:pPr>
        <w:keepNext w:val="0"/>
        <w:keepLines w:val="0"/>
        <w:pageBreakBefore w:val="0"/>
        <w:kinsoku/>
        <w:wordWrap/>
        <w:topLinePunct w:val="0"/>
        <w:autoSpaceDE/>
        <w:autoSpaceDN/>
        <w:bidi w:val="0"/>
        <w:spacing w:line="360" w:lineRule="exact"/>
        <w:ind w:firstLine="422" w:firstLineChars="200"/>
        <w:textAlignment w:val="auto"/>
        <w:rPr>
          <w:rFonts w:ascii="宋体" w:hAnsi="宋体" w:cs="宋体"/>
          <w:b/>
          <w:bCs/>
          <w:szCs w:val="21"/>
        </w:rPr>
      </w:pPr>
      <w:r>
        <w:rPr>
          <w:rFonts w:hint="eastAsia" w:ascii="宋体" w:hAnsi="宋体" w:cs="宋体"/>
          <w:b/>
          <w:bCs/>
          <w:szCs w:val="21"/>
        </w:rPr>
        <w:t>十</w:t>
      </w:r>
      <w:r>
        <w:rPr>
          <w:rFonts w:hint="eastAsia" w:cs="宋体" w:asciiTheme="minorEastAsia" w:hAnsiTheme="minorEastAsia" w:eastAsiaTheme="minorEastAsia"/>
          <w:b/>
          <w:color w:val="auto"/>
          <w:kern w:val="0"/>
          <w:szCs w:val="21"/>
          <w:lang w:eastAsia="zh-CN"/>
        </w:rPr>
        <w:t>二</w:t>
      </w:r>
      <w:r>
        <w:rPr>
          <w:rFonts w:hint="eastAsia" w:ascii="宋体" w:hAnsi="宋体" w:cs="宋体"/>
          <w:b/>
          <w:bCs/>
          <w:szCs w:val="21"/>
        </w:rPr>
        <w:t>、疫情防控措施</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在采购活动前，根据参与人员规模研究制定活动预案，科学安排座位间距，缩短工作时间，设置场内外提示牌，对参加人员进行体温检测、扫码核验、信息登记等工作。会议室每隔两小时通一次风，</w:t>
      </w:r>
      <w:r>
        <w:rPr>
          <w:rFonts w:hint="eastAsia" w:ascii="宋体" w:hAnsi="宋体" w:cs="宋体"/>
          <w:kern w:val="0"/>
          <w:szCs w:val="21"/>
        </w:rPr>
        <w:t>使用</w:t>
      </w:r>
      <w:r>
        <w:rPr>
          <w:rFonts w:ascii="宋体" w:hAnsi="宋体" w:cs="宋体"/>
          <w:kern w:val="0"/>
          <w:szCs w:val="21"/>
        </w:rPr>
        <w:t>完毕后及时消毒。</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2.对于参与开评标活动的投标供应商、采购人授权代表，应如实填报《疫情期间参与政府采购活动开评标人员健康信息登记表》并加盖单位公章。在进入</w:t>
      </w:r>
      <w:r>
        <w:rPr>
          <w:rFonts w:hint="eastAsia" w:ascii="宋体" w:hAnsi="宋体" w:cs="宋体"/>
          <w:kern w:val="0"/>
          <w:szCs w:val="21"/>
        </w:rPr>
        <w:t>公司</w:t>
      </w:r>
      <w:r>
        <w:rPr>
          <w:rFonts w:ascii="宋体" w:hAnsi="宋体" w:cs="宋体"/>
          <w:kern w:val="0"/>
          <w:szCs w:val="21"/>
        </w:rPr>
        <w:t>时，请凭《疫情期间参与政府采购活动开评标人员健康信息登记表》和本人身份证原件方能到指定开评标场所</w:t>
      </w:r>
      <w:r>
        <w:rPr>
          <w:rFonts w:hint="eastAsia" w:ascii="宋体" w:hAnsi="宋体" w:cs="宋体"/>
          <w:kern w:val="0"/>
          <w:szCs w:val="21"/>
        </w:rPr>
        <w:t>。</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3．对于参与评标活动的评审专家，在进入</w:t>
      </w:r>
      <w:r>
        <w:rPr>
          <w:rFonts w:hint="eastAsia" w:ascii="宋体" w:hAnsi="宋体" w:cs="宋体"/>
          <w:kern w:val="0"/>
          <w:szCs w:val="21"/>
        </w:rPr>
        <w:t>公司</w:t>
      </w:r>
      <w:r>
        <w:rPr>
          <w:rFonts w:ascii="宋体" w:hAnsi="宋体" w:cs="宋体"/>
          <w:kern w:val="0"/>
          <w:szCs w:val="21"/>
        </w:rPr>
        <w:t>时，请主动出示当日参与项目评审项目手机短信进入指定场所。进入评标场所前，须如实填写《疫情期间参与政府采购活动开评标人员健康信息登记表》</w:t>
      </w:r>
      <w:r>
        <w:rPr>
          <w:rFonts w:hint="eastAsia" w:ascii="宋体" w:hAnsi="宋体" w:cs="宋体"/>
          <w:kern w:val="0"/>
          <w:szCs w:val="21"/>
        </w:rPr>
        <w:t>及</w:t>
      </w:r>
      <w:r>
        <w:rPr>
          <w:rFonts w:ascii="宋体" w:hAnsi="宋体" w:cs="宋体"/>
          <w:kern w:val="0"/>
          <w:szCs w:val="21"/>
        </w:rPr>
        <w:t xml:space="preserve">《承诺书》。对有疫情接触史及身体发烧等症状的评标专家不得应答专家随机抽取短信而参加评标活动。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4.适当限制参与开评标活动人数。疫情期间，为减少人员聚集，除采购人授权代表和投标供应商授权代表外，其他人员原则上不安排进入开评标场所。特殊情况应事先与</w:t>
      </w:r>
      <w:r>
        <w:rPr>
          <w:rFonts w:hint="eastAsia" w:ascii="宋体" w:hAnsi="宋体" w:cs="宋体"/>
          <w:kern w:val="0"/>
          <w:szCs w:val="21"/>
        </w:rPr>
        <w:t>公司</w:t>
      </w:r>
      <w:r>
        <w:rPr>
          <w:rFonts w:ascii="宋体" w:hAnsi="宋体" w:cs="宋体"/>
          <w:kern w:val="0"/>
          <w:szCs w:val="21"/>
        </w:rPr>
        <w:t xml:space="preserve">人员联系。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5.参与采购活动的当事人应严格按照疫情期间管理要求，服从佩戴口罩、测量体温、健康信息登记等各项疫情防控规定。进场后请保持安全距离，分散等候，不得扎堆聚集，事完即走。自觉服从引导人员的指挥和管理。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6.其余事项严格按照苏财购【2020】13号文执行。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7.因防控工作需要，给采购当事人带来诸多不便，还望多多理解和予以配合。</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十</w:t>
      </w:r>
      <w:r>
        <w:rPr>
          <w:rFonts w:hint="eastAsia" w:cs="宋体" w:asciiTheme="minorEastAsia" w:hAnsiTheme="minorEastAsia" w:eastAsiaTheme="minorEastAsia"/>
          <w:b/>
          <w:color w:val="auto"/>
          <w:kern w:val="0"/>
          <w:szCs w:val="21"/>
          <w:lang w:eastAsia="zh-CN"/>
        </w:rPr>
        <w:t>三</w:t>
      </w:r>
      <w:r>
        <w:rPr>
          <w:rFonts w:hint="eastAsia" w:cs="宋体" w:asciiTheme="minorEastAsia" w:hAnsiTheme="minorEastAsia" w:eastAsiaTheme="minorEastAsia"/>
          <w:b/>
          <w:color w:val="auto"/>
          <w:kern w:val="0"/>
          <w:szCs w:val="21"/>
        </w:rPr>
        <w:t>、联系方式</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代理机构</w:t>
      </w:r>
      <w:r>
        <w:rPr>
          <w:rFonts w:cs="宋体" w:asciiTheme="minorEastAsia" w:hAnsiTheme="minorEastAsia" w:eastAsiaTheme="minorEastAsia"/>
          <w:color w:val="auto"/>
          <w:szCs w:val="21"/>
        </w:rPr>
        <w:t>联系人：</w:t>
      </w:r>
      <w:r>
        <w:rPr>
          <w:rFonts w:hint="eastAsia" w:cs="宋体" w:asciiTheme="minorEastAsia" w:hAnsiTheme="minorEastAsia" w:eastAsiaTheme="minorEastAsia"/>
          <w:color w:val="auto"/>
          <w:szCs w:val="21"/>
        </w:rPr>
        <w:t>袁  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联系电话：0519-81580152  81580191  81580192（分机号6013）</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传    真：0519-81580105 </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地    址：常州市新北区通江中路396号中创大厦4楼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网    址：http://www.czctzb.com    邮    箱：czctzb@163.com</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招标人名称：</w:t>
      </w:r>
      <w:r>
        <w:rPr>
          <w:rFonts w:hint="eastAsia" w:ascii="宋体" w:hAnsi="宋体" w:cs="宋体"/>
          <w:szCs w:val="21"/>
          <w:lang w:eastAsia="zh-CN"/>
        </w:rPr>
        <w:t>常州凤凰新城建设发展有限公司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pacing w:val="2"/>
          <w:szCs w:val="21"/>
          <w:lang w:eastAsia="zh-CN"/>
        </w:rPr>
        <w:t>邵卫国</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default" w:ascii="宋体" w:hAnsi="宋体" w:eastAsia="宋体" w:cs="宋体"/>
          <w:spacing w:val="2"/>
          <w:szCs w:val="21"/>
          <w:lang w:val="en-US" w:eastAsia="zh-CN"/>
        </w:rPr>
      </w:pPr>
      <w:r>
        <w:rPr>
          <w:rFonts w:hint="eastAsia" w:ascii="宋体" w:hAnsi="宋体" w:cs="宋体"/>
          <w:szCs w:val="21"/>
        </w:rPr>
        <w:t>联系电话：</w:t>
      </w:r>
      <w:r>
        <w:rPr>
          <w:rFonts w:hint="eastAsia" w:ascii="宋体" w:hAnsi="宋体" w:cs="宋体"/>
          <w:spacing w:val="2"/>
          <w:szCs w:val="21"/>
          <w:lang w:val="en-US" w:eastAsia="zh-CN"/>
        </w:rPr>
        <w:t>13585357236</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szCs w:val="21"/>
        </w:rPr>
        <w:t>联系地址：</w:t>
      </w:r>
      <w:r>
        <w:rPr>
          <w:rFonts w:hint="eastAsia" w:ascii="宋体" w:hAnsi="宋体" w:cs="宋体"/>
        </w:rPr>
        <w:t>常州市天宁区中吴大道700号</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cs="宋体" w:asciiTheme="minorEastAsia" w:hAnsiTheme="minorEastAsia" w:eastAsiaTheme="minorEastAsia"/>
          <w:szCs w:val="21"/>
        </w:rPr>
      </w:pP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ascii="宋体" w:hAnsi="宋体" w:cs="宋体"/>
          <w:b/>
          <w:bCs/>
          <w:sz w:val="30"/>
          <w:szCs w:val="30"/>
        </w:rPr>
      </w:pPr>
      <w:r>
        <w:rPr>
          <w:rFonts w:hint="eastAsia" w:cs="宋体" w:asciiTheme="minorEastAsia" w:hAnsiTheme="minorEastAsia" w:eastAsiaTheme="minorEastAsia"/>
          <w:szCs w:val="21"/>
        </w:rPr>
        <w:t>2020年</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日</w:t>
      </w:r>
      <w:r>
        <w:rPr>
          <w:rFonts w:ascii="宋体" w:hAnsi="宋体" w:cs="宋体"/>
          <w:b/>
          <w:bCs/>
          <w:sz w:val="30"/>
          <w:szCs w:val="30"/>
        </w:rPr>
        <w:br w:type="page"/>
      </w:r>
    </w:p>
    <w:p>
      <w:pPr>
        <w:pStyle w:val="3"/>
      </w:pPr>
      <w:bookmarkStart w:id="0" w:name="_Toc17538134"/>
      <w:r>
        <w:rPr>
          <w:rFonts w:hint="eastAsia"/>
        </w:rPr>
        <w:t>第一章    总     则</w:t>
      </w:r>
      <w:bookmarkEnd w:id="0"/>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bCs/>
          <w:szCs w:val="21"/>
        </w:rPr>
      </w:pPr>
      <w:r>
        <w:rPr>
          <w:rFonts w:hint="eastAsia" w:ascii="宋体" w:hAnsi="宋体" w:cs="宋体"/>
          <w:b/>
          <w:bCs/>
          <w:szCs w:val="21"/>
        </w:rPr>
        <w:t>1.采购方式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pPr>
      <w:r>
        <w:rPr>
          <w:rFonts w:hint="eastAsia"/>
        </w:rPr>
        <w:t>本次采购采取竞价方式，本竞价文件仅适用于竞价公告中所述项目。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2.合格的竞价人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2.1满足公告中竞价人的资格要求的规定。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ascii="宋体" w:hAnsi="宋体" w:cs="宋体"/>
          <w:b/>
          <w:szCs w:val="21"/>
        </w:rPr>
        <w:t>3</w:t>
      </w:r>
      <w:r>
        <w:rPr>
          <w:rFonts w:hint="eastAsia" w:ascii="宋体" w:hAnsi="宋体" w:cs="宋体"/>
          <w:b/>
          <w:szCs w:val="21"/>
        </w:rPr>
        <w:t>.竞价费用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本文件及依法对本文件所作的更正内容均为竞价文件的组成部分。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竞价人应仔细检查竞价文件是否齐全，如有缺漏，立即与代理机构联系解决。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竞价人一旦参加本项目竞价活动，即被认为接受了本竞价文件的规定和约束。</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6.竞价人的义务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7.竞价报价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szCs w:val="21"/>
        </w:rPr>
        <w:t>详见第五章《竞价响应文件的组成》</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9.竞价保证金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b/>
          <w:spacing w:val="2"/>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在竞价响应文件提交截止时间之后，竞价人不得对其竞价响应文件作任何修改。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15.竞价仪式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16.竞价小组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 竞价小组负责具体的评审事务，并独立履行以下职责：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16.2.1审查、评价竞价响应文件是否符合竞价文件的商务、技术等实质性要求；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16.2.2要求竞价人对竞价响应文件有关事项作出澄清或者说明；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16.2.3对竞价响应文件进行比较和评价；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16.2.4推荐或</w:t>
      </w:r>
      <w:r>
        <w:rPr>
          <w:rFonts w:ascii="宋体" w:hAnsi="宋体" w:cs="宋体"/>
          <w:szCs w:val="21"/>
        </w:rPr>
        <w:t>确定</w:t>
      </w:r>
      <w:r>
        <w:rPr>
          <w:rFonts w:hint="eastAsia" w:ascii="宋体" w:hAnsi="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 竞价小组成员应当履行下列义务：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16.3.1遵纪守法，客观、公正、廉洁地履行职责；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16.3.3对评审过程和结果，以及竞价人的商业秘密保密；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16.3.4负责评审报告的起草；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18.3.12</w:t>
      </w:r>
      <w:r>
        <w:rPr>
          <w:rFonts w:hint="eastAsia" w:ascii="宋体" w:hAnsi="宋体" w:cs="宋体"/>
          <w:szCs w:val="21"/>
        </w:rPr>
        <w:t>竞价响应文件含有采购人不能接受的附加条件的；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19.4.4总价金额与按单价汇总金额不一致的，以单价金额计算结果为准。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19.5竞价人拒不按照竞价小组要求作出澄清、说明或者补正的，作为无效响应处理。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3竞价人的最终报价均低于了采购预算，采购人不能接受的；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4因重大变故，采购任务取消的。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.1竞价小组将从满足采购文件实质性响应要求的竞价人中，按照最后报价由高到低顺序推荐成交候选人。</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采购人授权竞价小组直接确定成交人。</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sz w:val="21"/>
          <w:szCs w:val="21"/>
        </w:rPr>
      </w:pPr>
      <w:r>
        <w:rPr>
          <w:rFonts w:hint="eastAsia" w:hAnsi="宋体" w:cs="宋体"/>
          <w:sz w:val="21"/>
          <w:szCs w:val="21"/>
        </w:rPr>
        <w:t>22.1 代理机构将成交结果在</w:t>
      </w:r>
      <w:r>
        <w:rPr>
          <w:rFonts w:hint="eastAsia" w:hAnsi="宋体"/>
          <w:b w:val="0"/>
          <w:bCs/>
          <w:sz w:val="21"/>
          <w:szCs w:val="21"/>
        </w:rPr>
        <w:t>中国</w:t>
      </w:r>
      <w:r>
        <w:rPr>
          <w:rFonts w:hAnsi="宋体"/>
          <w:b w:val="0"/>
          <w:bCs/>
          <w:sz w:val="21"/>
          <w:szCs w:val="21"/>
        </w:rPr>
        <w:t>招投标网</w:t>
      </w:r>
      <w:r>
        <w:rPr>
          <w:rFonts w:hint="eastAsia" w:hAnsi="宋体"/>
          <w:b w:val="0"/>
          <w:bCs/>
          <w:sz w:val="21"/>
          <w:szCs w:val="21"/>
        </w:rPr>
        <w:t>、</w:t>
      </w:r>
      <w:r>
        <w:rPr>
          <w:rFonts w:hint="eastAsia" w:hAnsi="宋体" w:cs="宋体"/>
          <w:b w:val="0"/>
          <w:bCs/>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22.2.1提供虚假材料谋取</w:t>
      </w:r>
      <w:r>
        <w:rPr>
          <w:rFonts w:hint="eastAsia" w:ascii="宋体" w:hAnsi="宋体"/>
          <w:szCs w:val="21"/>
        </w:rPr>
        <w:t>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22.2.5与</w:t>
      </w:r>
      <w:r>
        <w:rPr>
          <w:rFonts w:hint="eastAsia" w:ascii="宋体" w:hAnsi="宋体"/>
          <w:szCs w:val="21"/>
        </w:rPr>
        <w:t>采购人</w:t>
      </w:r>
      <w:r>
        <w:rPr>
          <w:rFonts w:ascii="宋体" w:hAnsi="宋体"/>
          <w:szCs w:val="21"/>
        </w:rPr>
        <w:t>或者其他</w:t>
      </w:r>
      <w:r>
        <w:rPr>
          <w:rFonts w:hint="eastAsia" w:ascii="宋体" w:hAnsi="宋体"/>
          <w:szCs w:val="21"/>
        </w:rPr>
        <w:t>竞价人</w:t>
      </w:r>
      <w:r>
        <w:rPr>
          <w:rFonts w:ascii="宋体" w:hAnsi="宋体"/>
          <w:szCs w:val="21"/>
        </w:rPr>
        <w:t>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.1成交结果确定后，代理机构将向成交人发出成交通知书。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.2成交通知书对采购人和成交人具有法律约束力。成交通知书发出后，采购人改变成交结果或者成交人放弃成交，均应当承担相应的法律责任，且不影响服务费的支付。</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b/>
          <w:bCs/>
          <w:sz w:val="21"/>
          <w:szCs w:val="21"/>
          <w:u w:val="single"/>
        </w:rPr>
        <w:t>5%</w:t>
      </w:r>
      <w:r>
        <w:rPr>
          <w:rFonts w:hint="eastAsia" w:hAnsi="宋体" w:cs="宋体"/>
          <w:sz w:val="21"/>
          <w:szCs w:val="21"/>
        </w:rPr>
        <w:t>的履约保证金。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2" w:firstLineChars="200"/>
        <w:jc w:val="left"/>
        <w:textAlignment w:val="auto"/>
        <w:rPr>
          <w:rFonts w:ascii="宋体" w:hAnsi="宋体" w:cs="宋体"/>
          <w:b/>
          <w:szCs w:val="21"/>
        </w:rPr>
      </w:pPr>
      <w:r>
        <w:rPr>
          <w:rFonts w:hint="eastAsia" w:ascii="宋体" w:hAnsi="宋体" w:cs="宋体"/>
          <w:b/>
          <w:szCs w:val="21"/>
        </w:rPr>
        <w:t>服务费</w:t>
      </w:r>
      <w:r>
        <w:rPr>
          <w:rFonts w:hint="eastAsia" w:ascii="宋体" w:hAnsi="宋体" w:cs="宋体"/>
          <w:b/>
          <w:szCs w:val="21"/>
          <w:lang w:val="en-US" w:eastAsia="zh-CN"/>
        </w:rPr>
        <w:t>3000元</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，中标人应在领取中标通知书时将中标服务费付至采购代理机构收取投标保证金的帐户。</w:t>
      </w:r>
      <w:r>
        <w:rPr>
          <w:rFonts w:ascii="宋体" w:hAnsi="宋体" w:cs="宋体"/>
          <w:b/>
          <w:szCs w:val="21"/>
        </w:rPr>
        <w:pict>
          <v:shape id="_x0000_s1026" o:spid="_x0000_s1026" o:spt="100" style="position:absolute;left:0pt;margin-left:161.85pt;margin-top:17.65pt;height:0.75pt;width:0pt;mso-position-horizontal-relative:page;z-index:-251656192;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type="segments" o:connectlocs="0,0;0,7143" o:connectangles="0,0"/>
            <v:fill on="f" focussize="0,0"/>
            <v:stroke weight="0.05pt" joinstyle="round"/>
            <v:imagedata o:title=""/>
            <o:lock v:ext="edit"/>
          </v:shape>
        </w:pict>
      </w:r>
      <w:r>
        <w:rPr>
          <w:rFonts w:hint="eastAsia" w:ascii="宋体" w:hAnsi="宋体" w:cs="宋体"/>
          <w:b/>
          <w:szCs w:val="21"/>
        </w:rPr>
        <w:t>该费用含</w:t>
      </w:r>
      <w:r>
        <w:rPr>
          <w:rFonts w:ascii="宋体" w:hAnsi="宋体" w:cs="宋体"/>
          <w:b/>
          <w:szCs w:val="21"/>
        </w:rPr>
        <w:t>在</w:t>
      </w:r>
      <w:r>
        <w:rPr>
          <w:rFonts w:hint="eastAsia" w:ascii="宋体" w:hAnsi="宋体" w:cs="宋体"/>
          <w:b/>
          <w:szCs w:val="21"/>
        </w:rPr>
        <w:t>竞标</w:t>
      </w:r>
      <w:r>
        <w:rPr>
          <w:rFonts w:ascii="宋体" w:hAnsi="宋体" w:cs="宋体"/>
          <w:b/>
          <w:szCs w:val="21"/>
        </w:rPr>
        <w:t>总报价中。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.3签订合同后，成交人不得进行转租。否则采购人有权终止合同，成交人的履约保证金将不予退还。转租造成采购人损失的，成交人应承担相应赔偿责任。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keepNext w:val="0"/>
        <w:keepLines w:val="0"/>
        <w:pageBreakBefore w:val="0"/>
        <w:widowControl w:val="0"/>
        <w:kinsoku/>
        <w:wordWrap/>
        <w:topLinePunct w:val="0"/>
        <w:bidi w:val="0"/>
        <w:spacing w:line="360" w:lineRule="exact"/>
        <w:ind w:firstLine="602" w:firstLineChars="200"/>
        <w:textAlignment w:val="auto"/>
        <w:rPr>
          <w:rFonts w:ascii="宋体" w:hAnsi="宋体" w:cs="宋体"/>
          <w:b/>
          <w:sz w:val="30"/>
          <w:szCs w:val="30"/>
        </w:rPr>
      </w:pPr>
      <w:r>
        <w:rPr>
          <w:rFonts w:ascii="宋体" w:hAnsi="宋体" w:cs="宋体"/>
          <w:b/>
          <w:sz w:val="30"/>
          <w:szCs w:val="30"/>
        </w:rPr>
        <w:br w:type="page"/>
      </w:r>
    </w:p>
    <w:p>
      <w:pPr>
        <w:pStyle w:val="3"/>
      </w:pPr>
      <w:bookmarkStart w:id="1" w:name="_Toc17538135"/>
      <w:r>
        <w:rPr>
          <w:rFonts w:hint="eastAsia"/>
        </w:rPr>
        <w:t>第二章  采购项目及技术要求</w:t>
      </w:r>
      <w:bookmarkEnd w:id="1"/>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bCs/>
          <w:szCs w:val="21"/>
        </w:rPr>
        <w:t>一、采购清单及</w:t>
      </w:r>
      <w:r>
        <w:rPr>
          <w:rFonts w:hint="eastAsia" w:asciiTheme="minorEastAsia" w:hAnsiTheme="minorEastAsia" w:eastAsiaTheme="minorEastAsia"/>
          <w:b/>
          <w:spacing w:val="2"/>
          <w:szCs w:val="21"/>
        </w:rPr>
        <w:t>最低限价：人民币</w:t>
      </w:r>
      <w:r>
        <w:rPr>
          <w:rFonts w:hint="eastAsia" w:asciiTheme="minorEastAsia" w:hAnsiTheme="minorEastAsia" w:eastAsiaTheme="minorEastAsia"/>
          <w:b/>
          <w:spacing w:val="2"/>
          <w:szCs w:val="21"/>
          <w:lang w:val="en-US" w:eastAsia="zh-CN"/>
        </w:rPr>
        <w:t>14823.75</w:t>
      </w:r>
      <w:r>
        <w:rPr>
          <w:rFonts w:hint="eastAsia" w:asciiTheme="minorEastAsia" w:hAnsiTheme="minorEastAsia" w:eastAsiaTheme="minorEastAsia"/>
          <w:b/>
          <w:spacing w:val="2"/>
          <w:szCs w:val="21"/>
        </w:rPr>
        <w:t>元</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bCs/>
          <w:szCs w:val="21"/>
        </w:rPr>
      </w:pPr>
      <w:r>
        <w:rPr>
          <w:rFonts w:hint="eastAsia" w:asciiTheme="minorEastAsia" w:hAnsiTheme="minorEastAsia" w:eastAsiaTheme="minorEastAsia"/>
          <w:b/>
          <w:bCs/>
          <w:szCs w:val="21"/>
        </w:rPr>
        <w:t>二、</w:t>
      </w:r>
      <w:r>
        <w:rPr>
          <w:rFonts w:hint="eastAsia" w:ascii="宋体" w:hAnsi="宋体" w:cs="宋体"/>
          <w:b/>
          <w:bCs/>
          <w:szCs w:val="21"/>
        </w:rPr>
        <w:t>项目</w:t>
      </w:r>
      <w:r>
        <w:rPr>
          <w:rFonts w:ascii="宋体" w:hAnsi="宋体" w:cs="宋体"/>
          <w:b/>
          <w:bCs/>
          <w:szCs w:val="21"/>
        </w:rPr>
        <w:t>清单：</w:t>
      </w:r>
    </w:p>
    <w:tbl>
      <w:tblPr>
        <w:tblStyle w:val="21"/>
        <w:tblW w:w="8322" w:type="dxa"/>
        <w:tblInd w:w="0" w:type="dxa"/>
        <w:shd w:val="clear" w:color="auto" w:fill="auto"/>
        <w:tblLayout w:type="fixed"/>
        <w:tblCellMar>
          <w:top w:w="0" w:type="dxa"/>
          <w:left w:w="0" w:type="dxa"/>
          <w:bottom w:w="0" w:type="dxa"/>
          <w:right w:w="0" w:type="dxa"/>
        </w:tblCellMar>
      </w:tblPr>
      <w:tblGrid>
        <w:gridCol w:w="649"/>
        <w:gridCol w:w="2164"/>
        <w:gridCol w:w="1377"/>
        <w:gridCol w:w="1377"/>
        <w:gridCol w:w="1377"/>
        <w:gridCol w:w="1378"/>
      </w:tblGrid>
      <w:tr>
        <w:tblPrEx>
          <w:shd w:val="clear" w:color="auto" w:fill="auto"/>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bookmarkStart w:id="2" w:name="_Toc17538137"/>
            <w:r>
              <w:rPr>
                <w:rFonts w:hint="eastAsia" w:ascii="宋体" w:hAnsi="宋体" w:eastAsia="宋体" w:cs="宋体"/>
                <w:i w:val="0"/>
                <w:color w:val="000000"/>
                <w:kern w:val="0"/>
                <w:sz w:val="21"/>
                <w:szCs w:val="21"/>
                <w:u w:val="none"/>
                <w:lang w:val="en-US" w:eastAsia="zh-CN" w:bidi="ar"/>
              </w:rPr>
              <w:t>序号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规格型号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评估</w:t>
            </w:r>
            <w:r>
              <w:rPr>
                <w:rFonts w:hint="eastAsia" w:ascii="宋体" w:hAnsi="宋体" w:eastAsia="宋体" w:cs="宋体"/>
                <w:i w:val="0"/>
                <w:color w:val="000000"/>
                <w:kern w:val="0"/>
                <w:sz w:val="21"/>
                <w:szCs w:val="21"/>
                <w:u w:val="none"/>
                <w:lang w:val="en-US" w:eastAsia="zh-CN" w:bidi="ar"/>
              </w:rPr>
              <w:t>价值</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酒柜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木质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简易餐桌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办公格间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保险柜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杰宝大王</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三层</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屏风</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双人床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鱼缸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摇摇椅(吊蓝)</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神龛</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餐桌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台球桌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货架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海尔</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衣柜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荣事达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双人沙发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海尔</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四轮电瓶车</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26820.00</w:t>
            </w:r>
          </w:p>
        </w:tc>
      </w:tr>
    </w:tbl>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lang w:eastAsia="zh-CN"/>
        </w:rPr>
      </w:pPr>
      <w:r>
        <w:rPr>
          <w:rFonts w:hint="eastAsia" w:ascii="宋体" w:hAnsi="宋体" w:cs="宋体"/>
          <w:b/>
          <w:szCs w:val="21"/>
          <w:lang w:eastAsia="zh-CN"/>
        </w:rPr>
        <w:t>四轮电瓶车照片：</w:t>
      </w:r>
      <w:r>
        <w:rPr>
          <w:rFonts w:hint="eastAsia" w:ascii="宋体" w:hAnsi="宋体" w:cs="宋体"/>
          <w:b/>
          <w:szCs w:val="21"/>
          <w:lang w:eastAsia="zh-CN"/>
        </w:rPr>
        <w:drawing>
          <wp:anchor distT="0" distB="0" distL="114300" distR="114300" simplePos="0" relativeHeight="251667456" behindDoc="0" locked="0" layoutInCell="1" allowOverlap="1">
            <wp:simplePos x="0" y="0"/>
            <wp:positionH relativeFrom="column">
              <wp:posOffset>307340</wp:posOffset>
            </wp:positionH>
            <wp:positionV relativeFrom="page">
              <wp:posOffset>6092190</wp:posOffset>
            </wp:positionV>
            <wp:extent cx="1818640" cy="1508125"/>
            <wp:effectExtent l="0" t="0" r="10160" b="15875"/>
            <wp:wrapTopAndBottom/>
            <wp:docPr id="2" name="图片 2" descr="00c0ceea6517a7340b9e62c18d2b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c0ceea6517a7340b9e62c18d2bade"/>
                    <pic:cNvPicPr>
                      <a:picLocks noChangeAspect="1"/>
                    </pic:cNvPicPr>
                  </pic:nvPicPr>
                  <pic:blipFill>
                    <a:blip r:embed="rId9"/>
                    <a:srcRect l="13740" t="11313" r="199"/>
                    <a:stretch>
                      <a:fillRect/>
                    </a:stretch>
                  </pic:blipFill>
                  <pic:spPr>
                    <a:xfrm>
                      <a:off x="0" y="0"/>
                      <a:ext cx="1818640" cy="150812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keepNext w:val="0"/>
        <w:keepLines w:val="0"/>
        <w:pageBreakBefore w:val="0"/>
        <w:widowControl w:val="0"/>
        <w:tabs>
          <w:tab w:val="left" w:pos="284"/>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本项目竞价报价为</w:t>
      </w:r>
      <w:r>
        <w:rPr>
          <w:rFonts w:hint="eastAsia" w:ascii="宋体" w:hAnsi="宋体" w:cs="宋体"/>
          <w:b/>
          <w:bCs/>
          <w:szCs w:val="21"/>
          <w:u w:val="single"/>
        </w:rPr>
        <w:t>固定</w:t>
      </w:r>
      <w:r>
        <w:rPr>
          <w:rFonts w:hint="eastAsia" w:ascii="宋体" w:hAnsi="宋体" w:cs="宋体"/>
          <w:b/>
          <w:bCs/>
          <w:szCs w:val="21"/>
          <w:u w:val="single"/>
          <w:lang w:val="en-US" w:eastAsia="zh-CN"/>
        </w:rPr>
        <w:t>总</w:t>
      </w:r>
      <w:r>
        <w:rPr>
          <w:rFonts w:hint="eastAsia" w:ascii="宋体" w:hAnsi="宋体" w:cs="宋体"/>
          <w:b/>
          <w:bCs/>
          <w:szCs w:val="21"/>
          <w:u w:val="single"/>
        </w:rPr>
        <w:t>价</w:t>
      </w:r>
      <w:r>
        <w:rPr>
          <w:rFonts w:hint="eastAsia" w:ascii="宋体" w:hAnsi="宋体" w:cs="宋体"/>
          <w:szCs w:val="21"/>
        </w:rPr>
        <w:t>，</w:t>
      </w:r>
      <w:r>
        <w:rPr>
          <w:rFonts w:hint="eastAsia" w:ascii="宋体" w:hAnsi="宋体" w:cs="宋体"/>
          <w:color w:val="000000"/>
          <w:szCs w:val="21"/>
        </w:rPr>
        <w:t>但不限于现场收集、运输、装卸、装卸车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w:t>
      </w:r>
      <w:r>
        <w:rPr>
          <w:rFonts w:hint="eastAsia" w:ascii="宋体" w:hAnsi="宋体" w:cs="宋体"/>
          <w:color w:val="000000"/>
          <w:szCs w:val="21"/>
        </w:rPr>
        <w:t>政策性文件规定及合同包含的所有风险、责任和竞价文件所要求的相关服务等全部内容。</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四、服务要求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成交供应商需承担装卸、运输、现场卫生清理，在装车过程中出现的一切安全事故由成交供应商承担。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在收购约定废品后，确保按照国家法律的相关规定及工作流程进行处置，不造成环境危害及其他对社会公众的伤害，如造成环境危害及其他安全责任伤害事故等，采购人不承担任何相应的责任，成交供应商在对废品进行处置时需遵守国家法律的相关规定及工作流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highlight w:val="none"/>
        </w:rPr>
      </w:pPr>
      <w:r>
        <w:rPr>
          <w:rFonts w:hint="eastAsia" w:ascii="宋体" w:hAnsi="宋体" w:cs="宋体"/>
          <w:szCs w:val="21"/>
          <w:highlight w:val="none"/>
        </w:rPr>
        <w:t>由采购人通知成交供应商，成交供应商在接到采购人通知后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w:t>
      </w:r>
      <w:r>
        <w:rPr>
          <w:rFonts w:hint="eastAsia" w:ascii="宋体" w:hAnsi="宋体" w:cs="宋体"/>
          <w:szCs w:val="21"/>
          <w:highlight w:val="none"/>
        </w:rPr>
        <w:t>内将采购人指定的废品收购处置完毕。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特殊情况双方协商处理。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成交供应商负责废品的现场收集、清理、装卸。</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运输废品所需车辆，由成交供应商自行提供。如需采购人提供车辆，由成交供应商负担租车费用。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成交供应商应确保废品收购时和废品收购处理完毕后现场的安全及清洁工作，并确保不造成任何污染。</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运输工具应清洁卫生，不得装载有毒有害或其他对货物可能造成污染的物品，在采购人场内应按采购人规定的限速行使，无安全隐患；由于成交供应商原因，成交供应商车辆在采购人场内造成安全、污染事故由成交供应商负相应的法律责任及经济赔偿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因成交供应商工作人员的过错造成采购人的人身伤害及财产的损失，由成交供应商承担全部法律责任及经济损失。</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在采购人的废品处理现场，成交供应商工作人员在装卸、处置、收购废品工作过程中所发生的任何安全事故，由成交供应商自行承担，与采购人无关。（除非成交供应商能证明采购人有过错的）。</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五、综合说明</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竞价人应遵循公开、公平、公正和诚实信用的原则。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凡参与竞价的竞价人，皆视为自愿接受本竞价文件约束。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新报价一旦被报出不得撤消。</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在规定期限内有两个或两个以上竞价人，允许多次报价、价高者得，若最终存在两个或两个以上报价完全相同的最高报价竞价人，则采购人有权自行从中选择成交供应商而无需向其余竞价人做出解释。</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szCs w:val="21"/>
        </w:rPr>
      </w:pPr>
      <w:r>
        <w:rPr>
          <w:rFonts w:hint="eastAsia" w:ascii="宋体" w:hAnsi="宋体" w:cs="宋体"/>
          <w:szCs w:val="21"/>
        </w:rPr>
        <w:t>若本项目只有一个竞价人实质性响应，经竞价小组、采购人同意，可转为单一来源采购方式或重新组织采购。</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color w:val="000000"/>
          <w:szCs w:val="21"/>
        </w:rPr>
      </w:pPr>
      <w:r>
        <w:rPr>
          <w:rFonts w:hint="eastAsia" w:ascii="宋体" w:hAnsi="宋体" w:cs="宋体"/>
          <w:szCs w:val="21"/>
        </w:rPr>
        <w:t>成交人应在取得成交通知书之日起30日内（节假日除外）与采购人签订合同书，逾期取消其资格，并没收投标</w:t>
      </w:r>
      <w:r>
        <w:rPr>
          <w:rFonts w:ascii="宋体" w:hAnsi="宋体" w:cs="宋体"/>
          <w:szCs w:val="21"/>
        </w:rPr>
        <w:t>保证金。</w:t>
      </w:r>
    </w:p>
    <w:p>
      <w:pPr>
        <w:keepNext w:val="0"/>
        <w:keepLines w:val="0"/>
        <w:pageBreakBefore w:val="0"/>
        <w:widowControl w:val="0"/>
        <w:kinsoku/>
        <w:wordWrap/>
        <w:overflowPunct/>
        <w:topLinePunct w:val="0"/>
        <w:autoSpaceDE/>
        <w:autoSpaceDN/>
        <w:bidi w:val="0"/>
        <w:adjustRightInd w:val="0"/>
        <w:snapToGrid w:val="0"/>
        <w:spacing w:line="360" w:lineRule="exact"/>
        <w:ind w:left="420" w:leftChars="200"/>
        <w:textAlignment w:val="auto"/>
        <w:rPr>
          <w:rFonts w:ascii="宋体" w:hAnsi="宋体" w:cs="宋体"/>
          <w:b/>
          <w:bCs/>
          <w:color w:val="000000"/>
          <w:szCs w:val="21"/>
        </w:rPr>
      </w:pPr>
      <w:r>
        <w:rPr>
          <w:rFonts w:hint="eastAsia" w:ascii="宋体" w:hAnsi="宋体" w:cs="宋体"/>
          <w:b/>
          <w:bCs/>
          <w:color w:val="000000"/>
          <w:szCs w:val="21"/>
        </w:rPr>
        <w:t>六</w:t>
      </w:r>
      <w:r>
        <w:rPr>
          <w:rFonts w:ascii="宋体" w:hAnsi="宋体" w:cs="宋体"/>
          <w:b/>
          <w:bCs/>
          <w:color w:val="000000"/>
          <w:szCs w:val="21"/>
        </w:rPr>
        <w:t>、</w:t>
      </w:r>
      <w:r>
        <w:rPr>
          <w:rFonts w:hint="eastAsia" w:ascii="宋体" w:hAnsi="宋体" w:cs="宋体"/>
          <w:b/>
          <w:bCs/>
          <w:color w:val="000000"/>
          <w:szCs w:val="21"/>
        </w:rPr>
        <w:t>付款方式：</w:t>
      </w:r>
      <w:r>
        <w:rPr>
          <w:rFonts w:hint="eastAsia" w:ascii="宋体" w:hAnsi="宋体" w:cs="宋体"/>
          <w:szCs w:val="21"/>
        </w:rPr>
        <w:t>先付款再提货（转帐、现金）。</w:t>
      </w:r>
    </w:p>
    <w:p>
      <w:r>
        <w:rPr>
          <w:rFonts w:hint="eastAsia"/>
        </w:rPr>
        <w:br w:type="page"/>
      </w:r>
    </w:p>
    <w:p>
      <w:pPr>
        <w:pStyle w:val="3"/>
      </w:pPr>
      <w:r>
        <w:rPr>
          <w:rFonts w:hint="eastAsia"/>
        </w:rPr>
        <w:t>第三章  评审细则</w:t>
      </w:r>
      <w:bookmarkEnd w:id="2"/>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3" w:name="_Toc17538138"/>
      <w:r>
        <w:rPr>
          <w:rFonts w:hint="eastAsia"/>
        </w:rPr>
        <w:br w:type="page"/>
      </w:r>
    </w:p>
    <w:p>
      <w:pPr>
        <w:pStyle w:val="3"/>
      </w:pPr>
      <w:r>
        <w:rPr>
          <w:rFonts w:hint="eastAsia"/>
        </w:rPr>
        <w:t>第四章  竞价响应文件的组成</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*1.竞价响应函</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ascii="宋体" w:hAnsi="宋体" w:cs="宋体"/>
          <w:b/>
          <w:szCs w:val="21"/>
        </w:rPr>
      </w:pPr>
      <w:r>
        <w:rPr>
          <w:rFonts w:hint="eastAsia" w:ascii="宋体" w:hAnsi="宋体" w:cs="宋体"/>
          <w:b/>
          <w:szCs w:val="21"/>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ascii="宋体" w:hAnsi="宋体" w:cs="宋体"/>
          <w:szCs w:val="21"/>
        </w:rPr>
        <w:t>*</w:t>
      </w:r>
      <w:r>
        <w:rPr>
          <w:rFonts w:hint="eastAsia" w:ascii="宋体" w:hAnsi="宋体" w:cs="宋体"/>
          <w:szCs w:val="21"/>
        </w:rPr>
        <w:t>2.竞价分项</w:t>
      </w:r>
      <w:r>
        <w:rPr>
          <w:rFonts w:ascii="宋体" w:hAnsi="宋体" w:cs="宋体"/>
          <w:szCs w:val="21"/>
        </w:rPr>
        <w:t>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9"/>
      <w:r>
        <w:rPr>
          <w:rFonts w:hint="eastAsia"/>
        </w:rPr>
        <w:br w:type="page"/>
      </w:r>
    </w:p>
    <w:p>
      <w:pPr>
        <w:pStyle w:val="3"/>
      </w:pPr>
      <w:r>
        <w:rPr>
          <w:rFonts w:hint="eastAsia"/>
        </w:rPr>
        <w:t>第五章  附    件</w:t>
      </w:r>
      <w:bookmarkEnd w:id="4"/>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5"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5"/>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lang w:eastAsia="zh-CN"/>
        </w:rPr>
        <w:t>常州凤凰新城建设发展有限公司</w:t>
      </w:r>
      <w:r>
        <w:rPr>
          <w:rFonts w:hint="eastAsia" w:cs="宋体" w:asciiTheme="minorEastAsia" w:hAnsiTheme="minorEastAsia" w:eastAsiaTheme="minorEastAsia"/>
          <w:sz w:val="21"/>
          <w:szCs w:val="21"/>
        </w:rPr>
        <w:t>、常州市城投建设工程招标有限公司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18"/>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hint="eastAsia" w:ascii="宋体" w:hAnsi="宋体"/>
          <w:szCs w:val="21"/>
          <w:u w:val="single"/>
        </w:rPr>
        <w:t xml:space="preserve">           （  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lang w:val="en-US" w:eastAsia="zh-CN"/>
        </w:rPr>
        <w:t>4</w:t>
      </w:r>
      <w:r>
        <w:rPr>
          <w:rFonts w:hint="eastAsia" w:ascii="宋体" w:hAnsi="宋体" w:cs="宋体"/>
          <w:b/>
          <w:sz w:val="28"/>
          <w:szCs w:val="28"/>
        </w:rPr>
        <w:t>.竞标报价表</w:t>
      </w:r>
    </w:p>
    <w:p>
      <w:pPr>
        <w:jc w:val="center"/>
        <w:outlineLvl w:val="1"/>
        <w:rPr>
          <w:rFonts w:ascii="宋体" w:hAnsi="宋体" w:cs="宋体"/>
          <w:b/>
          <w:sz w:val="28"/>
          <w:szCs w:val="28"/>
        </w:rPr>
      </w:pPr>
      <w:r>
        <w:rPr>
          <w:rFonts w:hint="eastAsia" w:ascii="宋体" w:hAnsi="宋体" w:cs="宋体"/>
          <w:b/>
          <w:sz w:val="28"/>
          <w:szCs w:val="28"/>
        </w:rPr>
        <w:t>竞标报价表</w:t>
      </w:r>
    </w:p>
    <w:p>
      <w:pPr>
        <w:spacing w:line="500" w:lineRule="exact"/>
        <w:jc w:val="right"/>
        <w:rPr>
          <w:rFonts w:ascii="宋体" w:hAnsi="宋体" w:cs="宋体"/>
          <w:b/>
          <w:sz w:val="28"/>
          <w:szCs w:val="28"/>
        </w:rPr>
      </w:pP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报价明细表</w:t>
      </w:r>
    </w:p>
    <w:p>
      <w:pPr>
        <w:jc w:val="center"/>
        <w:rPr>
          <w:rFonts w:ascii="宋体" w:hAnsi="宋体" w:cs="宋体"/>
          <w:b/>
          <w:color w:val="000000"/>
          <w:sz w:val="28"/>
          <w:szCs w:val="28"/>
        </w:rPr>
      </w:pPr>
      <w:r>
        <w:rPr>
          <w:rFonts w:hint="eastAsia" w:ascii="宋体" w:hAnsi="宋体" w:cs="宋体"/>
          <w:b/>
          <w:color w:val="000000"/>
          <w:sz w:val="28"/>
          <w:szCs w:val="28"/>
        </w:rPr>
        <w:t>报价明细表</w:t>
      </w:r>
    </w:p>
    <w:p>
      <w:pPr>
        <w:keepNext w:val="0"/>
        <w:keepLines w:val="0"/>
        <w:pageBreakBefore w:val="0"/>
        <w:kinsoku/>
        <w:wordWrap/>
        <w:overflowPunct/>
        <w:topLinePunct w:val="0"/>
        <w:autoSpaceDE/>
        <w:autoSpaceDN/>
        <w:bidi w:val="0"/>
        <w:spacing w:line="360" w:lineRule="exact"/>
        <w:rPr>
          <w:rFonts w:ascii="宋体" w:hAnsi="宋体" w:cs="宋体"/>
          <w:szCs w:val="21"/>
        </w:rPr>
      </w:pPr>
      <w:r>
        <w:rPr>
          <w:rFonts w:hint="eastAsia" w:ascii="宋体" w:hAnsi="宋体"/>
          <w:color w:val="000000"/>
          <w:szCs w:val="21"/>
        </w:rPr>
        <w:t>项目名称：</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项目编号：</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序号</w:t>
            </w:r>
          </w:p>
        </w:tc>
        <w:tc>
          <w:tcPr>
            <w:tcW w:w="934"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设备</w:t>
            </w:r>
          </w:p>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名称</w:t>
            </w:r>
          </w:p>
        </w:tc>
        <w:tc>
          <w:tcPr>
            <w:tcW w:w="78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品牌</w:t>
            </w:r>
          </w:p>
        </w:tc>
        <w:tc>
          <w:tcPr>
            <w:tcW w:w="1117"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规格型号</w:t>
            </w:r>
          </w:p>
        </w:tc>
        <w:tc>
          <w:tcPr>
            <w:tcW w:w="1799"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技术参数</w:t>
            </w:r>
          </w:p>
        </w:tc>
        <w:tc>
          <w:tcPr>
            <w:tcW w:w="613"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数量</w:t>
            </w:r>
          </w:p>
        </w:tc>
        <w:tc>
          <w:tcPr>
            <w:tcW w:w="618"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单位</w:t>
            </w:r>
          </w:p>
        </w:tc>
        <w:tc>
          <w:tcPr>
            <w:tcW w:w="1991" w:type="dxa"/>
            <w:gridSpan w:val="2"/>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投标人民币价格（元）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color w:val="auto"/>
                <w:kern w:val="0"/>
                <w:szCs w:val="21"/>
              </w:rPr>
            </w:pPr>
          </w:p>
        </w:tc>
        <w:tc>
          <w:tcPr>
            <w:tcW w:w="934" w:type="dxa"/>
            <w:vMerge w:val="continue"/>
            <w:vAlign w:val="center"/>
          </w:tcPr>
          <w:p>
            <w:pPr>
              <w:widowControl/>
              <w:snapToGrid w:val="0"/>
              <w:spacing w:line="360" w:lineRule="auto"/>
              <w:jc w:val="center"/>
              <w:rPr>
                <w:rFonts w:ascii="宋体" w:hAnsi="宋体" w:cs="Arial"/>
                <w:color w:val="auto"/>
                <w:kern w:val="0"/>
                <w:szCs w:val="21"/>
              </w:rPr>
            </w:pPr>
          </w:p>
        </w:tc>
        <w:tc>
          <w:tcPr>
            <w:tcW w:w="780" w:type="dxa"/>
            <w:vMerge w:val="continue"/>
            <w:vAlign w:val="center"/>
          </w:tcPr>
          <w:p>
            <w:pPr>
              <w:widowControl/>
              <w:snapToGrid w:val="0"/>
              <w:spacing w:line="360" w:lineRule="auto"/>
              <w:jc w:val="center"/>
              <w:rPr>
                <w:rFonts w:ascii="宋体" w:hAnsi="宋体" w:cs="Arial"/>
                <w:color w:val="auto"/>
                <w:kern w:val="0"/>
                <w:szCs w:val="21"/>
              </w:rPr>
            </w:pPr>
          </w:p>
        </w:tc>
        <w:tc>
          <w:tcPr>
            <w:tcW w:w="1117" w:type="dxa"/>
            <w:vMerge w:val="continue"/>
            <w:vAlign w:val="center"/>
          </w:tcPr>
          <w:p>
            <w:pPr>
              <w:widowControl/>
              <w:snapToGrid w:val="0"/>
              <w:spacing w:line="360" w:lineRule="auto"/>
              <w:jc w:val="center"/>
              <w:rPr>
                <w:rFonts w:ascii="宋体" w:hAnsi="宋体" w:cs="Arial"/>
                <w:color w:val="auto"/>
                <w:kern w:val="0"/>
                <w:szCs w:val="21"/>
              </w:rPr>
            </w:pPr>
          </w:p>
        </w:tc>
        <w:tc>
          <w:tcPr>
            <w:tcW w:w="1799" w:type="dxa"/>
            <w:vMerge w:val="continue"/>
            <w:vAlign w:val="center"/>
          </w:tcPr>
          <w:p>
            <w:pPr>
              <w:widowControl/>
              <w:snapToGrid w:val="0"/>
              <w:spacing w:line="360" w:lineRule="auto"/>
              <w:jc w:val="center"/>
              <w:rPr>
                <w:rFonts w:ascii="宋体" w:hAnsi="宋体" w:cs="Arial"/>
                <w:color w:val="auto"/>
                <w:kern w:val="0"/>
                <w:szCs w:val="21"/>
              </w:rPr>
            </w:pPr>
          </w:p>
        </w:tc>
        <w:tc>
          <w:tcPr>
            <w:tcW w:w="613" w:type="dxa"/>
            <w:vMerge w:val="continue"/>
            <w:vAlign w:val="center"/>
          </w:tcPr>
          <w:p>
            <w:pPr>
              <w:widowControl/>
              <w:snapToGrid w:val="0"/>
              <w:spacing w:line="360" w:lineRule="auto"/>
              <w:jc w:val="center"/>
              <w:rPr>
                <w:rFonts w:ascii="宋体" w:hAnsi="宋体" w:cs="Arial"/>
                <w:color w:val="auto"/>
                <w:kern w:val="0"/>
                <w:szCs w:val="21"/>
              </w:rPr>
            </w:pPr>
          </w:p>
        </w:tc>
        <w:tc>
          <w:tcPr>
            <w:tcW w:w="618" w:type="dxa"/>
            <w:vMerge w:val="continue"/>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单价</w:t>
            </w:r>
          </w:p>
        </w:tc>
        <w:tc>
          <w:tcPr>
            <w:tcW w:w="1072"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3</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     计</w:t>
            </w: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bl>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竞价人名称（公章）：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日期：      年  月   日</w:t>
      </w:r>
    </w:p>
    <w:p>
      <w:pPr>
        <w:snapToGrid w:val="0"/>
        <w:spacing w:line="360" w:lineRule="auto"/>
        <w:rPr>
          <w:rFonts w:ascii="宋体" w:hAnsi="宋体"/>
          <w:color w:val="auto"/>
          <w:szCs w:val="21"/>
        </w:rPr>
      </w:pPr>
      <w:r>
        <w:rPr>
          <w:rFonts w:hint="eastAsia" w:ascii="宋体" w:hAnsi="宋体"/>
          <w:color w:val="auto"/>
          <w:szCs w:val="21"/>
        </w:rPr>
        <w:t>表式参考，可根据项目情况自行调整</w:t>
      </w:r>
    </w:p>
    <w:p>
      <w:pPr>
        <w:spacing w:line="360" w:lineRule="exact"/>
        <w:rPr>
          <w:rFonts w:ascii="宋体" w:hAnsi="宋体" w:cs="宋体"/>
          <w:color w:val="000000"/>
          <w:szCs w:val="21"/>
        </w:rPr>
      </w:pPr>
      <w:r>
        <w:rPr>
          <w:rFonts w:hint="eastAsia" w:ascii="宋体" w:hAnsi="宋体" w:cs="宋体"/>
          <w:color w:val="000000"/>
          <w:szCs w:val="21"/>
        </w:rPr>
        <w:br w:type="page"/>
      </w:r>
    </w:p>
    <w:p>
      <w:pPr>
        <w:pStyle w:val="3"/>
        <w:rPr>
          <w:rFonts w:hint="eastAsia"/>
        </w:rPr>
      </w:pPr>
      <w:bookmarkStart w:id="6" w:name="_Toc17538140"/>
    </w:p>
    <w:p>
      <w:pPr>
        <w:pStyle w:val="3"/>
      </w:pPr>
      <w:r>
        <w:rPr>
          <w:rFonts w:hint="eastAsia"/>
        </w:rPr>
        <w:t>友 情 提 醒</w:t>
      </w:r>
      <w:bookmarkEnd w:id="6"/>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1ECE"/>
    <w:multiLevelType w:val="singleLevel"/>
    <w:tmpl w:val="20E21ECE"/>
    <w:lvl w:ilvl="0" w:tentative="0">
      <w:start w:val="1"/>
      <w:numFmt w:val="decimal"/>
      <w:suff w:val="nothing"/>
      <w:lvlText w:val="%1．"/>
      <w:lvlJc w:val="left"/>
      <w:pPr>
        <w:ind w:left="0" w:firstLine="400"/>
      </w:pPr>
      <w:rPr>
        <w:rFonts w:hint="default"/>
      </w:rPr>
    </w:lvl>
  </w:abstractNum>
  <w:abstractNum w:abstractNumId="1">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0ADC"/>
    <w:rsid w:val="00341B96"/>
    <w:rsid w:val="00345DA0"/>
    <w:rsid w:val="00347E49"/>
    <w:rsid w:val="003513FF"/>
    <w:rsid w:val="003662A9"/>
    <w:rsid w:val="00366A86"/>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396"/>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5C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104751F"/>
    <w:rsid w:val="011210A9"/>
    <w:rsid w:val="01F64907"/>
    <w:rsid w:val="028B190C"/>
    <w:rsid w:val="03285B28"/>
    <w:rsid w:val="039B6C90"/>
    <w:rsid w:val="04BA3309"/>
    <w:rsid w:val="06CC4252"/>
    <w:rsid w:val="06DA475A"/>
    <w:rsid w:val="087F47E5"/>
    <w:rsid w:val="08A12AB2"/>
    <w:rsid w:val="08BC42DC"/>
    <w:rsid w:val="096C6861"/>
    <w:rsid w:val="09972F5A"/>
    <w:rsid w:val="09D36C0B"/>
    <w:rsid w:val="09ED7DA6"/>
    <w:rsid w:val="0A515726"/>
    <w:rsid w:val="0B7633DA"/>
    <w:rsid w:val="0BD854DC"/>
    <w:rsid w:val="0BFD44F1"/>
    <w:rsid w:val="0C317CA4"/>
    <w:rsid w:val="0C70747D"/>
    <w:rsid w:val="0CAC2FC6"/>
    <w:rsid w:val="0D162417"/>
    <w:rsid w:val="0E2608D5"/>
    <w:rsid w:val="0F322664"/>
    <w:rsid w:val="0FA05681"/>
    <w:rsid w:val="103F0363"/>
    <w:rsid w:val="11776E55"/>
    <w:rsid w:val="12593AFE"/>
    <w:rsid w:val="12614B9E"/>
    <w:rsid w:val="12FB4F48"/>
    <w:rsid w:val="150D3091"/>
    <w:rsid w:val="15915F08"/>
    <w:rsid w:val="15991E74"/>
    <w:rsid w:val="159D6A00"/>
    <w:rsid w:val="15A60DBD"/>
    <w:rsid w:val="15FC12E8"/>
    <w:rsid w:val="179B5C78"/>
    <w:rsid w:val="18A77265"/>
    <w:rsid w:val="199F46BA"/>
    <w:rsid w:val="19EC0866"/>
    <w:rsid w:val="19F7612E"/>
    <w:rsid w:val="1B781A1B"/>
    <w:rsid w:val="1BB81042"/>
    <w:rsid w:val="1C7D44D3"/>
    <w:rsid w:val="1E215DCA"/>
    <w:rsid w:val="1F083496"/>
    <w:rsid w:val="21B260A0"/>
    <w:rsid w:val="21E12B06"/>
    <w:rsid w:val="22DC4553"/>
    <w:rsid w:val="24537602"/>
    <w:rsid w:val="27493C12"/>
    <w:rsid w:val="27F74A73"/>
    <w:rsid w:val="28426E7B"/>
    <w:rsid w:val="28990848"/>
    <w:rsid w:val="29045425"/>
    <w:rsid w:val="29060DDC"/>
    <w:rsid w:val="29203D77"/>
    <w:rsid w:val="295B2D7B"/>
    <w:rsid w:val="2A563979"/>
    <w:rsid w:val="2A895F39"/>
    <w:rsid w:val="2AFD03BF"/>
    <w:rsid w:val="2B0E668C"/>
    <w:rsid w:val="2CA102BF"/>
    <w:rsid w:val="2DB04F73"/>
    <w:rsid w:val="2DFE3C16"/>
    <w:rsid w:val="2E381D7D"/>
    <w:rsid w:val="2EC81D0A"/>
    <w:rsid w:val="2FD90D0F"/>
    <w:rsid w:val="30261F49"/>
    <w:rsid w:val="31BB3D69"/>
    <w:rsid w:val="335014C1"/>
    <w:rsid w:val="35437EF3"/>
    <w:rsid w:val="36F43DC2"/>
    <w:rsid w:val="37733078"/>
    <w:rsid w:val="37787EF0"/>
    <w:rsid w:val="3780749A"/>
    <w:rsid w:val="37F71163"/>
    <w:rsid w:val="38A33422"/>
    <w:rsid w:val="3A391001"/>
    <w:rsid w:val="3A683F74"/>
    <w:rsid w:val="3AA00DB7"/>
    <w:rsid w:val="3B593505"/>
    <w:rsid w:val="3B6B7430"/>
    <w:rsid w:val="3B961EA9"/>
    <w:rsid w:val="3CEB5634"/>
    <w:rsid w:val="3D1772FD"/>
    <w:rsid w:val="3FCC3113"/>
    <w:rsid w:val="41177AA2"/>
    <w:rsid w:val="41B2693D"/>
    <w:rsid w:val="41B320B5"/>
    <w:rsid w:val="421C62B5"/>
    <w:rsid w:val="42C422C4"/>
    <w:rsid w:val="42DF0A26"/>
    <w:rsid w:val="42FC65E1"/>
    <w:rsid w:val="43A532CB"/>
    <w:rsid w:val="43E80A3F"/>
    <w:rsid w:val="4401744E"/>
    <w:rsid w:val="44231F0E"/>
    <w:rsid w:val="44CE054B"/>
    <w:rsid w:val="45AE281F"/>
    <w:rsid w:val="45E56F56"/>
    <w:rsid w:val="462224C0"/>
    <w:rsid w:val="462F3168"/>
    <w:rsid w:val="470947DD"/>
    <w:rsid w:val="47F44F64"/>
    <w:rsid w:val="48DA38C6"/>
    <w:rsid w:val="490819D4"/>
    <w:rsid w:val="4BC86B42"/>
    <w:rsid w:val="4C040BB5"/>
    <w:rsid w:val="4C4374AB"/>
    <w:rsid w:val="4C695695"/>
    <w:rsid w:val="4DE34DC4"/>
    <w:rsid w:val="4E201741"/>
    <w:rsid w:val="4ED26A06"/>
    <w:rsid w:val="4ED875AF"/>
    <w:rsid w:val="4EF8673C"/>
    <w:rsid w:val="4F05238D"/>
    <w:rsid w:val="4F4A4BFC"/>
    <w:rsid w:val="4F65348C"/>
    <w:rsid w:val="50472464"/>
    <w:rsid w:val="505E7152"/>
    <w:rsid w:val="520E46AC"/>
    <w:rsid w:val="523D1EB8"/>
    <w:rsid w:val="52903359"/>
    <w:rsid w:val="52DE03D0"/>
    <w:rsid w:val="53600B76"/>
    <w:rsid w:val="53F83899"/>
    <w:rsid w:val="54440533"/>
    <w:rsid w:val="544E3580"/>
    <w:rsid w:val="545322CE"/>
    <w:rsid w:val="545813BB"/>
    <w:rsid w:val="55F340B3"/>
    <w:rsid w:val="56331C83"/>
    <w:rsid w:val="567F301E"/>
    <w:rsid w:val="569E332E"/>
    <w:rsid w:val="5761479E"/>
    <w:rsid w:val="588A0C4C"/>
    <w:rsid w:val="58C20A0C"/>
    <w:rsid w:val="590E0F50"/>
    <w:rsid w:val="59C0298D"/>
    <w:rsid w:val="5A023EDB"/>
    <w:rsid w:val="5A1617D8"/>
    <w:rsid w:val="5B3A7B0B"/>
    <w:rsid w:val="5BD8106D"/>
    <w:rsid w:val="5C62294F"/>
    <w:rsid w:val="5C8F5897"/>
    <w:rsid w:val="5CD72111"/>
    <w:rsid w:val="5D483CA3"/>
    <w:rsid w:val="5E1273DD"/>
    <w:rsid w:val="5E830CD9"/>
    <w:rsid w:val="60753A76"/>
    <w:rsid w:val="60DF5A91"/>
    <w:rsid w:val="61B4664A"/>
    <w:rsid w:val="62E16075"/>
    <w:rsid w:val="63CE5BD8"/>
    <w:rsid w:val="63EC4082"/>
    <w:rsid w:val="64A45612"/>
    <w:rsid w:val="650D5CCE"/>
    <w:rsid w:val="65936198"/>
    <w:rsid w:val="65DA1B4C"/>
    <w:rsid w:val="66386AF2"/>
    <w:rsid w:val="68AD50AB"/>
    <w:rsid w:val="699318F8"/>
    <w:rsid w:val="6AD82745"/>
    <w:rsid w:val="6C0B5105"/>
    <w:rsid w:val="6C1073C6"/>
    <w:rsid w:val="6C6F53D6"/>
    <w:rsid w:val="6C852030"/>
    <w:rsid w:val="6D7762B5"/>
    <w:rsid w:val="6E127821"/>
    <w:rsid w:val="6E160DD1"/>
    <w:rsid w:val="6E31728C"/>
    <w:rsid w:val="6E4A5E57"/>
    <w:rsid w:val="6F2864C4"/>
    <w:rsid w:val="6F2E2543"/>
    <w:rsid w:val="70233EF2"/>
    <w:rsid w:val="70ED5925"/>
    <w:rsid w:val="71084E8C"/>
    <w:rsid w:val="71095ADF"/>
    <w:rsid w:val="71D06A81"/>
    <w:rsid w:val="72DA110C"/>
    <w:rsid w:val="730E2F2E"/>
    <w:rsid w:val="73C05AB8"/>
    <w:rsid w:val="73E0342F"/>
    <w:rsid w:val="74581677"/>
    <w:rsid w:val="74AA0671"/>
    <w:rsid w:val="755E3DD1"/>
    <w:rsid w:val="756141E1"/>
    <w:rsid w:val="793C2F5E"/>
    <w:rsid w:val="7A3A2B69"/>
    <w:rsid w:val="7A675F99"/>
    <w:rsid w:val="7AE9060C"/>
    <w:rsid w:val="7B9C3A54"/>
    <w:rsid w:val="7C8A13C1"/>
    <w:rsid w:val="7CE10995"/>
    <w:rsid w:val="7CEA71E1"/>
    <w:rsid w:val="7E4A0E28"/>
    <w:rsid w:val="7F0024D3"/>
    <w:rsid w:val="7F6B73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2"/>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D78EF-E7A8-4F74-A3A1-7DC45DE715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2014</Words>
  <Characters>11482</Characters>
  <Lines>95</Lines>
  <Paragraphs>26</Paragraphs>
  <TotalTime>5</TotalTime>
  <ScaleCrop>false</ScaleCrop>
  <LinksUpToDate>false</LinksUpToDate>
  <CharactersWithSpaces>13470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2019-12-20T03:21:00Z</dcterms:created>
  <dc:creator>王波</dc:creator>
  <cp:lastModifiedBy>兰馥郁</cp:lastModifiedBy>
  <cp:lastPrinted>2017-10-08T03:39:00Z</cp:lastPrinted>
  <dcterms:modified xsi:type="dcterms:W3CDTF">2020-06-10T08:36:00Z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