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CT-SJ-2020003</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采购项目名称：废旧物资处理项目（</w:t>
      </w:r>
      <w:r>
        <w:rPr>
          <w:rFonts w:hint="eastAsia" w:ascii="宋体" w:hAnsi="宋体"/>
          <w:bCs/>
          <w:sz w:val="28"/>
          <w:szCs w:val="32"/>
          <w:lang w:eastAsia="zh-CN"/>
        </w:rPr>
        <w:t>手推购物车</w:t>
      </w:r>
      <w:r>
        <w:rPr>
          <w:rFonts w:hint="eastAsia" w:ascii="宋体" w:hAnsi="宋体"/>
          <w:bCs/>
          <w:sz w:val="28"/>
          <w:szCs w:val="32"/>
        </w:rPr>
        <w:t>）</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常州天宁建设发展集团有限公司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二〇二〇年一月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第一章总则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第五章附件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友情提醒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常州天宁建设发展集团有限公司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w:t>
      </w:r>
      <w:r>
        <w:rPr>
          <w:rFonts w:hint="eastAsia" w:ascii="宋体" w:hAnsi="宋体" w:cs="宋体"/>
          <w:b/>
          <w:sz w:val="32"/>
          <w:szCs w:val="24"/>
          <w:lang w:eastAsia="zh-CN"/>
        </w:rPr>
        <w:t>手推购物车</w:t>
      </w:r>
      <w:r>
        <w:rPr>
          <w:rFonts w:hint="eastAsia" w:ascii="宋体" w:hAnsi="宋体" w:cs="宋体"/>
          <w:b/>
          <w:sz w:val="32"/>
          <w:szCs w:val="24"/>
        </w:rPr>
        <w:t>）竞价公告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常州天宁建设发展集团有限公司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废旧物资处理项目（</w:t>
      </w:r>
      <w:r>
        <w:rPr>
          <w:rFonts w:hint="eastAsia" w:asciiTheme="minorEastAsia" w:hAnsiTheme="minorEastAsia" w:eastAsiaTheme="minorEastAsia"/>
          <w:b/>
          <w:bCs/>
          <w:color w:val="000000"/>
          <w:szCs w:val="21"/>
          <w:lang w:eastAsia="zh-CN"/>
        </w:rPr>
        <w:t>手推购物车</w:t>
      </w:r>
      <w:r>
        <w:rPr>
          <w:rFonts w:hint="eastAsia" w:asciiTheme="minorEastAsia" w:hAnsiTheme="minorEastAsia" w:eastAsiaTheme="minorEastAsia"/>
          <w:b/>
          <w:bCs/>
          <w:color w:val="000000"/>
          <w:szCs w:val="21"/>
        </w:rPr>
        <w:t>）</w:t>
      </w:r>
      <w:r>
        <w:rPr>
          <w:rFonts w:hint="eastAsia" w:asciiTheme="minorEastAsia" w:hAnsiTheme="minorEastAsia" w:eastAsiaTheme="minorEastAsia"/>
          <w:color w:val="000000"/>
          <w:szCs w:val="21"/>
        </w:rPr>
        <w:t>进行竞价出让，有关事项公告如下：</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废旧物资处理项目（</w:t>
      </w:r>
      <w:r>
        <w:rPr>
          <w:rFonts w:hint="eastAsia" w:asciiTheme="minorEastAsia" w:hAnsiTheme="minorEastAsia" w:eastAsiaTheme="minorEastAsia"/>
          <w:bCs/>
          <w:szCs w:val="21"/>
          <w:lang w:eastAsia="zh-CN"/>
        </w:rPr>
        <w:t>手推购物车</w:t>
      </w:r>
      <w:r>
        <w:rPr>
          <w:rFonts w:hint="eastAsia" w:asciiTheme="minorEastAsia" w:hAnsiTheme="minorEastAsia" w:eastAsiaTheme="minorEastAsia"/>
          <w:bCs/>
          <w:szCs w:val="21"/>
        </w:rPr>
        <w:t>）</w:t>
      </w:r>
    </w:p>
    <w:p>
      <w:pPr>
        <w:snapToGrid w:val="0"/>
        <w:spacing w:line="360" w:lineRule="exact"/>
        <w:ind w:firstLine="422" w:firstLineChars="200"/>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CT-SJ-2020003</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3.61</w:t>
      </w:r>
      <w:r>
        <w:rPr>
          <w:rFonts w:hint="eastAsia" w:asciiTheme="minorEastAsia" w:hAnsiTheme="minorEastAsia" w:eastAsiaTheme="minorEastAsia"/>
          <w:b/>
          <w:spacing w:val="2"/>
          <w:szCs w:val="21"/>
        </w:rPr>
        <w:t>万元</w:t>
      </w:r>
    </w:p>
    <w:p>
      <w:pPr>
        <w:spacing w:line="360" w:lineRule="exact"/>
        <w:ind w:firstLine="430" w:firstLineChars="200"/>
        <w:rPr>
          <w:rFonts w:ascii="宋体" w:hAnsi="宋体" w:cs="宋体"/>
          <w:bCs/>
          <w:color w:val="00000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本项目为常州东南工业废水处理厂有限公司废旧物资处理项目。具体内容包括：现场收集、运输、装卸、装卸车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Theme="minorEastAsia" w:hAnsiTheme="minorEastAsia" w:eastAsiaTheme="minorEastAsia"/>
          <w:szCs w:val="21"/>
        </w:rPr>
        <w:t>，清单如下：</w:t>
      </w:r>
    </w:p>
    <w:tbl>
      <w:tblPr>
        <w:tblStyle w:val="22"/>
        <w:tblW w:w="4752"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资产名称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手推购物车</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380</w:t>
            </w:r>
          </w:p>
        </w:tc>
      </w:tr>
    </w:tbl>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spacing w:line="360" w:lineRule="exact"/>
        <w:ind w:left="420" w:left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14</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hint="eastAsia" w:cs="宋体" w:asciiTheme="minorEastAsia" w:hAnsiTheme="minorEastAsia" w:eastAsiaTheme="minorEastAsia"/>
          <w:b/>
          <w:szCs w:val="21"/>
          <w:lang w:eastAsia="zh-CN"/>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w:t>
      </w:r>
      <w:r>
        <w:rPr>
          <w:rFonts w:hint="eastAsia" w:cs="宋体" w:asciiTheme="minorEastAsia" w:hAnsiTheme="minorEastAsia" w:eastAsiaTheme="minorEastAsia"/>
          <w:b/>
          <w:szCs w:val="21"/>
          <w:lang w:eastAsia="zh-CN"/>
        </w:rPr>
        <w:t>叁仟零伍元</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同竞价响应文件提交截止时间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19</w:t>
      </w:r>
      <w:r>
        <w:rPr>
          <w:rFonts w:hint="eastAsia" w:cs="宋体" w:asciiTheme="minorEastAsia" w:hAnsiTheme="minorEastAsia" w:eastAsiaTheme="minorEastAsia"/>
          <w:b/>
          <w:bCs/>
          <w:kern w:val="0"/>
          <w:szCs w:val="21"/>
        </w:rPr>
        <w:t>日</w:t>
      </w:r>
      <w:r>
        <w:rPr>
          <w:rFonts w:hint="eastAsia" w:asciiTheme="minorEastAsia" w:hAnsiTheme="minorEastAsia" w:eastAsiaTheme="minorEastAsia"/>
          <w:b/>
          <w:bCs/>
          <w:szCs w:val="21"/>
          <w:lang w:val="en-US" w:eastAsia="zh-CN"/>
        </w:rPr>
        <w:t>13:30-14:00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19</w:t>
      </w:r>
      <w:r>
        <w:rPr>
          <w:rFonts w:hint="eastAsia" w:cs="宋体" w:asciiTheme="minorEastAsia" w:hAnsiTheme="minorEastAsia" w:eastAsiaTheme="minorEastAsia"/>
          <w:b/>
          <w:bCs/>
          <w:kern w:val="0"/>
          <w:szCs w:val="21"/>
        </w:rPr>
        <w:t>日</w:t>
      </w:r>
      <w:r>
        <w:rPr>
          <w:rFonts w:hint="eastAsia" w:asciiTheme="minorEastAsia" w:hAnsiTheme="minorEastAsia" w:eastAsiaTheme="minorEastAsia"/>
          <w:b/>
          <w:bCs/>
          <w:szCs w:val="21"/>
          <w:lang w:val="en-US" w:eastAsia="zh-CN"/>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260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常州天宁建设发展集团有限公司</w:t>
      </w:r>
    </w:p>
    <w:p>
      <w:pPr>
        <w:snapToGrid w:val="0"/>
        <w:spacing w:line="360" w:lineRule="exact"/>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pacing w:val="2"/>
          <w:szCs w:val="21"/>
        </w:rPr>
        <w:t>许</w:t>
      </w:r>
      <w:r>
        <w:rPr>
          <w:rFonts w:hint="eastAsia" w:ascii="宋体" w:hAnsi="宋体" w:cs="宋体"/>
          <w:spacing w:val="2"/>
          <w:szCs w:val="21"/>
          <w:lang w:val="en-US" w:eastAsia="zh-CN"/>
        </w:rPr>
        <w:t xml:space="preserve">  </w:t>
      </w:r>
      <w:r>
        <w:rPr>
          <w:rFonts w:hint="eastAsia" w:ascii="宋体" w:hAnsi="宋体" w:cs="宋体"/>
          <w:spacing w:val="2"/>
          <w:szCs w:val="21"/>
        </w:rPr>
        <w:t>菲</w:t>
      </w:r>
    </w:p>
    <w:p>
      <w:pPr>
        <w:snapToGrid w:val="0"/>
        <w:spacing w:line="360" w:lineRule="exact"/>
        <w:ind w:firstLine="420" w:firstLineChars="200"/>
        <w:rPr>
          <w:rFonts w:ascii="宋体" w:hAnsi="宋体" w:cs="宋体"/>
          <w:spacing w:val="2"/>
          <w:szCs w:val="21"/>
        </w:rPr>
      </w:pPr>
      <w:r>
        <w:rPr>
          <w:rFonts w:hint="eastAsia" w:ascii="宋体" w:hAnsi="宋体" w:cs="宋体"/>
          <w:szCs w:val="21"/>
        </w:rPr>
        <w:t>联系电话：</w:t>
      </w:r>
      <w:r>
        <w:rPr>
          <w:rFonts w:hint="eastAsia" w:ascii="宋体" w:hAnsi="宋体" w:cs="宋体"/>
          <w:spacing w:val="2"/>
          <w:szCs w:val="21"/>
        </w:rPr>
        <w:t>0519-83755118</w:t>
      </w:r>
    </w:p>
    <w:p>
      <w:pPr>
        <w:snapToGrid w:val="0"/>
        <w:spacing w:line="360" w:lineRule="exact"/>
        <w:ind w:firstLine="420" w:firstLineChars="200"/>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ascii="宋体" w:hAnsi="宋体" w:cs="宋体"/>
          <w:b/>
          <w:sz w:val="44"/>
          <w:szCs w:val="44"/>
        </w:rPr>
      </w:pPr>
      <w:r>
        <w:rPr>
          <w:rFonts w:hint="eastAsia" w:cs="宋体" w:asciiTheme="minorEastAsia" w:hAnsiTheme="minorEastAsia" w:eastAsiaTheme="minorEastAsia"/>
          <w:szCs w:val="21"/>
        </w:rPr>
        <w:t>2020年1月14日</w:t>
      </w:r>
    </w:p>
    <w:p>
      <w:pPr>
        <w:rPr>
          <w:rFonts w:ascii="宋体" w:hAnsi="宋体" w:cs="宋体"/>
          <w:b/>
          <w:bCs/>
          <w:sz w:val="30"/>
          <w:szCs w:val="30"/>
        </w:rPr>
      </w:pPr>
      <w:r>
        <w:rPr>
          <w:rFonts w:ascii="宋体" w:hAnsi="宋体" w:cs="宋体"/>
          <w:b/>
          <w:bCs/>
          <w:sz w:val="30"/>
          <w:szCs w:val="30"/>
        </w:rPr>
        <w:br w:type="page"/>
      </w:r>
    </w:p>
    <w:p>
      <w:pPr>
        <w:pStyle w:val="2"/>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spacing w:line="360" w:lineRule="exact"/>
        <w:ind w:firstLine="422" w:firstLineChars="20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的履约保证金。</w:t>
      </w:r>
    </w:p>
    <w:p>
      <w:pPr>
        <w:pStyle w:val="5"/>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szCs w:val="21"/>
        </w:rPr>
      </w:pPr>
      <w:r>
        <w:rPr>
          <w:rFonts w:hint="eastAsia" w:ascii="宋体" w:hAnsi="宋体" w:cs="宋体"/>
          <w:b/>
          <w:szCs w:val="21"/>
        </w:rPr>
        <w:t>服务费</w:t>
      </w:r>
      <w:bookmarkStart w:id="7" w:name="_GoBack"/>
      <w:bookmarkEnd w:id="7"/>
      <w:r>
        <w:rPr>
          <w:rFonts w:hint="eastAsia" w:ascii="宋体" w:hAnsi="宋体" w:cs="宋体"/>
          <w:b/>
          <w:szCs w:val="21"/>
          <w:lang w:val="en-US" w:eastAsia="zh-CN"/>
        </w:rPr>
        <w:t>1000元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3.61</w:t>
      </w:r>
      <w:r>
        <w:rPr>
          <w:rFonts w:hint="eastAsia" w:asciiTheme="minorEastAsia" w:hAnsiTheme="minorEastAsia" w:eastAsiaTheme="minorEastAsia"/>
          <w:b/>
          <w:spacing w:val="2"/>
          <w:szCs w:val="21"/>
        </w:rPr>
        <w:t>万元</w:t>
      </w:r>
    </w:p>
    <w:p>
      <w:pPr>
        <w:spacing w:line="360" w:lineRule="exact"/>
        <w:ind w:right="210" w:firstLine="422" w:firstLineChars="200"/>
        <w:jc w:val="left"/>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2"/>
        <w:tblW w:w="4752"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资产名称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手推购物车</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380</w:t>
            </w:r>
          </w:p>
        </w:tc>
      </w:tr>
    </w:tbl>
    <w:p>
      <w:pPr>
        <w:spacing w:line="360" w:lineRule="exact"/>
        <w:ind w:right="210" w:firstLine="422" w:firstLineChars="200"/>
        <w:jc w:val="left"/>
        <w:rPr>
          <w:rFonts w:ascii="宋体" w:hAnsi="宋体" w:cs="宋体"/>
          <w:b/>
          <w:szCs w:val="21"/>
        </w:rPr>
      </w:pPr>
      <w:bookmarkStart w:id="2" w:name="_Toc17538137"/>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固定总价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四、服务要求</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numPr>
          <w:ilvl w:val="0"/>
          <w:numId w:val="1"/>
        </w:numPr>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szCs w:val="21"/>
          <w:highlight w:val="none"/>
          <w:lang w:val="en-US" w:eastAsia="zh-CN"/>
        </w:rPr>
        <w:t>5</w:t>
      </w:r>
      <w:r>
        <w:rPr>
          <w:rFonts w:hint="eastAsia" w:ascii="宋体" w:hAnsi="宋体" w:cs="宋体"/>
          <w:szCs w:val="21"/>
          <w:highlight w:val="none"/>
        </w:rPr>
        <w:t>个工作日内将采购人指定的废品收购处置完毕。</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特殊情况双方协商处理。</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成交供应商负责废品的现场收集、清理、装卸。</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五、综合说明</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竞价人应遵循公开、公平、公正和诚实信用的原则。</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凡参与竞价的竞价人，皆视为自愿接受本竞价文件约束。</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新报价一旦被报出不得撤消。</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numPr>
          <w:ilvl w:val="0"/>
          <w:numId w:val="2"/>
        </w:numPr>
        <w:spacing w:line="360" w:lineRule="exact"/>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numPr>
          <w:ilvl w:val="0"/>
          <w:numId w:val="2"/>
        </w:numPr>
        <w:spacing w:line="360" w:lineRule="exact"/>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spacing w:line="360" w:lineRule="exact"/>
        <w:ind w:left="420" w:leftChars="200"/>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2"/>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2"/>
      </w:pPr>
      <w:r>
        <w:rPr>
          <w:rFonts w:hint="eastAsia"/>
        </w:rPr>
        <w:t>第四章  竞价响应文件的组成</w:t>
      </w:r>
      <w:bookmarkEnd w:id="3"/>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*1.竞价响应函</w:t>
      </w:r>
    </w:p>
    <w:p>
      <w:pPr>
        <w:adjustRightInd w:val="0"/>
        <w:snapToGrid w:val="0"/>
        <w:spacing w:line="360" w:lineRule="auto"/>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adjustRightInd w:val="0"/>
        <w:snapToGrid w:val="0"/>
        <w:spacing w:line="360" w:lineRule="auto"/>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adjustRightInd w:val="0"/>
        <w:snapToGrid w:val="0"/>
        <w:spacing w:line="360" w:lineRule="auto"/>
        <w:ind w:left="420" w:leftChars="200"/>
        <w:rPr>
          <w:rFonts w:ascii="宋体" w:hAnsi="宋体" w:cs="宋体"/>
          <w:b/>
          <w:szCs w:val="21"/>
        </w:rPr>
      </w:pPr>
      <w:r>
        <w:rPr>
          <w:rFonts w:hint="eastAsia" w:ascii="宋体" w:hAnsi="宋体" w:cs="宋体"/>
          <w:b/>
          <w:szCs w:val="21"/>
        </w:rPr>
        <w:t>二、价格及有关商务部分材料</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*1.报价一览表</w:t>
      </w:r>
    </w:p>
    <w:p>
      <w:pPr>
        <w:adjustRightInd w:val="0"/>
        <w:snapToGrid w:val="0"/>
        <w:spacing w:line="360" w:lineRule="auto"/>
        <w:ind w:firstLine="422" w:firstLineChars="201"/>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四、说明</w:t>
      </w:r>
    </w:p>
    <w:p>
      <w:pPr>
        <w:adjustRightInd w:val="0"/>
        <w:snapToGrid w:val="0"/>
        <w:spacing w:line="360" w:lineRule="auto"/>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adjustRightInd w:val="0"/>
        <w:snapToGrid w:val="0"/>
        <w:spacing w:line="360" w:lineRule="auto"/>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2"/>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常州天宁建设发展集团有限公司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spacing w:line="360" w:lineRule="exact"/>
        <w:rPr>
          <w:rFonts w:ascii="宋体" w:hAnsi="宋体" w:cs="宋体"/>
          <w:szCs w:val="21"/>
        </w:rPr>
      </w:pPr>
      <w:r>
        <w:rPr>
          <w:rFonts w:hint="eastAsia" w:ascii="宋体" w:hAnsi="宋体"/>
          <w:color w:val="000000"/>
          <w:szCs w:val="21"/>
        </w:rPr>
        <w:t>项目名称：</w:t>
      </w:r>
    </w:p>
    <w:p>
      <w:pPr>
        <w:spacing w:line="360" w:lineRule="exact"/>
        <w:rPr>
          <w:rFonts w:ascii="宋体" w:hAnsi="宋体" w:cs="宋体"/>
          <w:szCs w:val="21"/>
        </w:rPr>
      </w:pPr>
      <w:r>
        <w:rPr>
          <w:rFonts w:hint="eastAsia" w:ascii="宋体" w:hAnsi="宋体" w:cs="宋体"/>
          <w:szCs w:val="21"/>
        </w:rPr>
        <w:t>项目编号：</w:t>
      </w:r>
    </w:p>
    <w:tbl>
      <w:tblPr>
        <w:tblStyle w:val="22"/>
        <w:tblW w:w="791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资产名称</w:t>
            </w:r>
          </w:p>
        </w:tc>
        <w:tc>
          <w:tcPr>
            <w:tcW w:w="1584"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58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c>
          <w:tcPr>
            <w:tcW w:w="158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8" w:type="dxa"/>
            <w:vAlign w:val="center"/>
          </w:tcPr>
          <w:p>
            <w:pPr>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手推购物车</w:t>
            </w:r>
          </w:p>
        </w:tc>
        <w:tc>
          <w:tcPr>
            <w:tcW w:w="1584" w:type="dxa"/>
            <w:vAlign w:val="center"/>
          </w:tcPr>
          <w:p>
            <w:pPr>
              <w:snapToGrid w:val="0"/>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380</w:t>
            </w:r>
          </w:p>
        </w:tc>
        <w:tc>
          <w:tcPr>
            <w:tcW w:w="1580" w:type="dxa"/>
            <w:vAlign w:val="center"/>
          </w:tcPr>
          <w:p>
            <w:pPr>
              <w:snapToGrid w:val="0"/>
              <w:spacing w:line="360" w:lineRule="exact"/>
              <w:jc w:val="center"/>
              <w:rPr>
                <w:rFonts w:asciiTheme="minorEastAsia" w:hAnsiTheme="minorEastAsia" w:eastAsiaTheme="minorEastAsia"/>
                <w:szCs w:val="21"/>
              </w:rPr>
            </w:pPr>
          </w:p>
        </w:tc>
        <w:tc>
          <w:tcPr>
            <w:tcW w:w="1580" w:type="dxa"/>
            <w:vAlign w:val="center"/>
          </w:tcPr>
          <w:p>
            <w:pPr>
              <w:snapToGrid w:val="0"/>
              <w:spacing w:line="360" w:lineRule="exact"/>
              <w:jc w:val="center"/>
              <w:rPr>
                <w:rFonts w:asciiTheme="minorEastAsia" w:hAnsiTheme="minorEastAsia" w:eastAsiaTheme="minorEastAsia"/>
                <w:szCs w:val="21"/>
              </w:rPr>
            </w:pPr>
          </w:p>
        </w:tc>
      </w:tr>
    </w:tbl>
    <w:p>
      <w:pPr>
        <w:spacing w:line="360" w:lineRule="exact"/>
        <w:rPr>
          <w:rFonts w:ascii="宋体" w:hAnsi="宋体" w:cs="宋体"/>
          <w:color w:val="000000"/>
          <w:szCs w:val="21"/>
        </w:rPr>
      </w:pPr>
      <w:r>
        <w:rPr>
          <w:rFonts w:hint="eastAsia" w:ascii="宋体" w:hAnsi="宋体" w:cs="宋体"/>
          <w:color w:val="000000"/>
          <w:szCs w:val="21"/>
        </w:rPr>
        <w:t>竞价人名称（公章）：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t>注：表式参考，可根据项目情况自行调整。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2"/>
      </w:pPr>
      <w:bookmarkStart w:id="6" w:name="_Toc17538140"/>
    </w:p>
    <w:p>
      <w:pPr>
        <w:pStyle w:val="2"/>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6CC4252"/>
    <w:rsid w:val="06DA475A"/>
    <w:rsid w:val="08A12AB2"/>
    <w:rsid w:val="08BC42DC"/>
    <w:rsid w:val="09972F5A"/>
    <w:rsid w:val="09ED7DA6"/>
    <w:rsid w:val="0A515726"/>
    <w:rsid w:val="0B7633DA"/>
    <w:rsid w:val="0BD854DC"/>
    <w:rsid w:val="0BFD44F1"/>
    <w:rsid w:val="0C317CA4"/>
    <w:rsid w:val="0C70747D"/>
    <w:rsid w:val="0CAC2FC6"/>
    <w:rsid w:val="0D162417"/>
    <w:rsid w:val="0E2608D5"/>
    <w:rsid w:val="0FA05681"/>
    <w:rsid w:val="103F0363"/>
    <w:rsid w:val="12593AFE"/>
    <w:rsid w:val="12614B9E"/>
    <w:rsid w:val="12FB4F48"/>
    <w:rsid w:val="15915F08"/>
    <w:rsid w:val="159D6A00"/>
    <w:rsid w:val="15FC12E8"/>
    <w:rsid w:val="18A77265"/>
    <w:rsid w:val="199F46BA"/>
    <w:rsid w:val="19EC0866"/>
    <w:rsid w:val="19F7612E"/>
    <w:rsid w:val="1B781A1B"/>
    <w:rsid w:val="1BB81042"/>
    <w:rsid w:val="21E12B06"/>
    <w:rsid w:val="22DC4553"/>
    <w:rsid w:val="24537602"/>
    <w:rsid w:val="27493C12"/>
    <w:rsid w:val="27F74A73"/>
    <w:rsid w:val="28426E7B"/>
    <w:rsid w:val="28990848"/>
    <w:rsid w:val="29045425"/>
    <w:rsid w:val="29203D77"/>
    <w:rsid w:val="295B2D7B"/>
    <w:rsid w:val="2A895F39"/>
    <w:rsid w:val="2AFD03BF"/>
    <w:rsid w:val="2B0E668C"/>
    <w:rsid w:val="2CA102BF"/>
    <w:rsid w:val="2DB04F73"/>
    <w:rsid w:val="2E381D7D"/>
    <w:rsid w:val="2EC81D0A"/>
    <w:rsid w:val="30261F49"/>
    <w:rsid w:val="31BB3D69"/>
    <w:rsid w:val="335014C1"/>
    <w:rsid w:val="36F43DC2"/>
    <w:rsid w:val="37787EF0"/>
    <w:rsid w:val="3780749A"/>
    <w:rsid w:val="3A391001"/>
    <w:rsid w:val="3B593505"/>
    <w:rsid w:val="3B6B7430"/>
    <w:rsid w:val="3B961EA9"/>
    <w:rsid w:val="3CEB5634"/>
    <w:rsid w:val="3D1772FD"/>
    <w:rsid w:val="3FCC3113"/>
    <w:rsid w:val="41177AA2"/>
    <w:rsid w:val="41B320B5"/>
    <w:rsid w:val="421C62B5"/>
    <w:rsid w:val="42C422C4"/>
    <w:rsid w:val="42DF0A26"/>
    <w:rsid w:val="43A532CB"/>
    <w:rsid w:val="43E80A3F"/>
    <w:rsid w:val="4401744E"/>
    <w:rsid w:val="44231F0E"/>
    <w:rsid w:val="44CE054B"/>
    <w:rsid w:val="45AE281F"/>
    <w:rsid w:val="45E56F56"/>
    <w:rsid w:val="462224C0"/>
    <w:rsid w:val="47F44F64"/>
    <w:rsid w:val="48DA38C6"/>
    <w:rsid w:val="490819D4"/>
    <w:rsid w:val="4BC86B42"/>
    <w:rsid w:val="4C040BB5"/>
    <w:rsid w:val="4C4374AB"/>
    <w:rsid w:val="4C695695"/>
    <w:rsid w:val="4DE34DC4"/>
    <w:rsid w:val="4ED26A06"/>
    <w:rsid w:val="4ED875AF"/>
    <w:rsid w:val="4EF8673C"/>
    <w:rsid w:val="4F4A4BFC"/>
    <w:rsid w:val="50472464"/>
    <w:rsid w:val="520E46AC"/>
    <w:rsid w:val="523D1EB8"/>
    <w:rsid w:val="52903359"/>
    <w:rsid w:val="52DE03D0"/>
    <w:rsid w:val="53600B76"/>
    <w:rsid w:val="53F83899"/>
    <w:rsid w:val="545322CE"/>
    <w:rsid w:val="545813BB"/>
    <w:rsid w:val="55F340B3"/>
    <w:rsid w:val="56331C83"/>
    <w:rsid w:val="567F301E"/>
    <w:rsid w:val="569E332E"/>
    <w:rsid w:val="588A0C4C"/>
    <w:rsid w:val="58C20A0C"/>
    <w:rsid w:val="59C0298D"/>
    <w:rsid w:val="5A023EDB"/>
    <w:rsid w:val="5A1617D8"/>
    <w:rsid w:val="5B3A7B0B"/>
    <w:rsid w:val="5BD8106D"/>
    <w:rsid w:val="5C62294F"/>
    <w:rsid w:val="5C8F5897"/>
    <w:rsid w:val="5CD72111"/>
    <w:rsid w:val="5E1273DD"/>
    <w:rsid w:val="5E830CD9"/>
    <w:rsid w:val="60753A76"/>
    <w:rsid w:val="60DF5A91"/>
    <w:rsid w:val="62E16075"/>
    <w:rsid w:val="63CE5BD8"/>
    <w:rsid w:val="63EC4082"/>
    <w:rsid w:val="65936198"/>
    <w:rsid w:val="65DA1B4C"/>
    <w:rsid w:val="68AD50AB"/>
    <w:rsid w:val="699318F8"/>
    <w:rsid w:val="6AD82745"/>
    <w:rsid w:val="6C1073C6"/>
    <w:rsid w:val="6C6F53D6"/>
    <w:rsid w:val="6C852030"/>
    <w:rsid w:val="6D7762B5"/>
    <w:rsid w:val="6E127821"/>
    <w:rsid w:val="6E31728C"/>
    <w:rsid w:val="6E4A5E57"/>
    <w:rsid w:val="6F2864C4"/>
    <w:rsid w:val="6F2E2543"/>
    <w:rsid w:val="70233EF2"/>
    <w:rsid w:val="70ED5925"/>
    <w:rsid w:val="72DA110C"/>
    <w:rsid w:val="730E2F2E"/>
    <w:rsid w:val="73C05AB8"/>
    <w:rsid w:val="73E0342F"/>
    <w:rsid w:val="74AA0671"/>
    <w:rsid w:val="755E3DD1"/>
    <w:rsid w:val="756141E1"/>
    <w:rsid w:val="793C2F5E"/>
    <w:rsid w:val="7B9C3A54"/>
    <w:rsid w:val="7C8A13C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1</TotalTime>
  <ScaleCrop>false</ScaleCrop>
  <LinksUpToDate>false</LinksUpToDate>
  <CharactersWithSpaces>13470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2020-01-14T09:36:54Z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