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default" w:ascii="宋体" w:hAnsi="宋体" w:eastAsia="宋体"/>
          <w:bCs/>
          <w:sz w:val="28"/>
          <w:szCs w:val="32"/>
          <w:lang w:val="en-US" w:eastAsia="zh-CN"/>
        </w:rPr>
      </w:pPr>
      <w:r>
        <w:rPr>
          <w:rFonts w:hint="eastAsia" w:ascii="宋体" w:hAnsi="宋体"/>
          <w:bCs/>
          <w:sz w:val="28"/>
          <w:szCs w:val="32"/>
        </w:rPr>
        <w:t>采购项目编号：CT-SJ-2019046</w:t>
      </w:r>
      <w:r>
        <w:rPr>
          <w:rFonts w:hint="eastAsia" w:ascii="宋体" w:hAnsi="宋体"/>
          <w:bCs/>
          <w:sz w:val="28"/>
          <w:szCs w:val="32"/>
          <w:lang w:val="en-US" w:eastAsia="zh-CN"/>
        </w:rPr>
        <w:t>-1</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w:t>
      </w:r>
      <w:r>
        <w:rPr>
          <w:rFonts w:hint="eastAsia" w:ascii="宋体" w:hAnsi="宋体"/>
          <w:bCs/>
          <w:sz w:val="28"/>
          <w:szCs w:val="32"/>
          <w:lang w:eastAsia="zh-CN"/>
        </w:rPr>
        <w:t>废旧电瓶处理项目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称：常州市公共交通集团有限责任公司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sz w:val="32"/>
          <w:szCs w:val="24"/>
        </w:rPr>
      </w:pPr>
      <w:bookmarkStart w:id="8" w:name="_GoBack"/>
      <w:r>
        <w:rPr>
          <w:rFonts w:hint="eastAsia" w:ascii="宋体" w:hAnsi="宋体" w:cs="宋体"/>
          <w:b/>
          <w:sz w:val="32"/>
          <w:szCs w:val="24"/>
        </w:rPr>
        <w:t>常州市公共交通集团有限责任公司</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宋体"/>
          <w:b/>
          <w:szCs w:val="21"/>
          <w:lang w:val="en-US" w:eastAsia="zh-CN"/>
        </w:rPr>
      </w:pPr>
      <w:r>
        <w:rPr>
          <w:rFonts w:hint="eastAsia" w:ascii="宋体" w:hAnsi="宋体" w:cs="宋体"/>
          <w:b/>
          <w:sz w:val="32"/>
          <w:szCs w:val="24"/>
          <w:lang w:eastAsia="zh-CN"/>
        </w:rPr>
        <w:t>废旧电瓶处理项目</w:t>
      </w:r>
      <w:r>
        <w:rPr>
          <w:rFonts w:hint="eastAsia" w:ascii="宋体" w:hAnsi="宋体" w:cs="宋体"/>
          <w:b/>
          <w:sz w:val="32"/>
          <w:szCs w:val="24"/>
        </w:rPr>
        <w:t>竞价公告</w:t>
      </w:r>
      <w:r>
        <w:rPr>
          <w:rFonts w:hint="eastAsia" w:ascii="宋体" w:hAnsi="宋体" w:cs="宋体"/>
          <w:b/>
          <w:sz w:val="32"/>
          <w:szCs w:val="24"/>
          <w:lang w:eastAsia="zh-CN"/>
        </w:rPr>
        <w:t>（二次）</w:t>
      </w:r>
    </w:p>
    <w:bookmarkEnd w:id="8"/>
    <w:p>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rPr>
        <w:t>常州市公共交通集团有限责任公司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废旧电瓶处理项目</w:t>
      </w:r>
      <w:r>
        <w:rPr>
          <w:rFonts w:hint="eastAsia" w:asciiTheme="minorEastAsia" w:hAnsiTheme="minorEastAsia" w:eastAsiaTheme="minorEastAsia"/>
          <w:color w:val="000000"/>
          <w:szCs w:val="21"/>
        </w:rPr>
        <w:t>进行竞价</w:t>
      </w:r>
      <w:r>
        <w:rPr>
          <w:rFonts w:hint="eastAsia" w:asciiTheme="minorEastAsia" w:hAnsiTheme="minorEastAsia" w:eastAsiaTheme="minorEastAsia"/>
          <w:color w:val="000000"/>
          <w:szCs w:val="21"/>
          <w:lang w:eastAsia="zh-CN"/>
        </w:rPr>
        <w:t>出让</w:t>
      </w:r>
      <w:r>
        <w:rPr>
          <w:rFonts w:hint="eastAsia" w:asciiTheme="minorEastAsia" w:hAnsiTheme="minorEastAsia" w:eastAsiaTheme="minorEastAsia"/>
          <w:color w:val="000000"/>
          <w:szCs w:val="21"/>
        </w:rPr>
        <w:t>，有关事项公告如下：</w:t>
      </w:r>
      <w:r>
        <w:rPr>
          <w:rFonts w:hint="eastAsia" w:cs="宋体" w:asciiTheme="minorEastAsia" w:hAnsiTheme="minorEastAsia" w:eastAsiaTheme="minorEastAsia"/>
          <w:szCs w:val="21"/>
        </w:rPr>
        <w:t xml:space="preserve"> </w:t>
      </w:r>
    </w:p>
    <w:p>
      <w:pPr>
        <w:keepNext w:val="0"/>
        <w:keepLines w:val="0"/>
        <w:pageBreakBefore w:val="0"/>
        <w:widowControl w:val="0"/>
        <w:kinsoku/>
        <w:wordWrap/>
        <w:topLinePunct w:val="0"/>
        <w:autoSpaceDE/>
        <w:autoSpaceDN/>
        <w:bidi w:val="0"/>
        <w:adjustRightInd/>
        <w:snapToGrid w:val="0"/>
        <w:spacing w:line="360" w:lineRule="exact"/>
        <w:ind w:firstLine="422" w:firstLineChars="200"/>
        <w:textAlignment w:val="auto"/>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常州市公共交通集团有限责任公司</w:t>
      </w:r>
      <w:r>
        <w:rPr>
          <w:rFonts w:hint="eastAsia" w:asciiTheme="minorEastAsia" w:hAnsiTheme="minorEastAsia" w:eastAsiaTheme="minorEastAsia"/>
          <w:bCs/>
          <w:szCs w:val="21"/>
          <w:lang w:eastAsia="zh-CN"/>
        </w:rPr>
        <w:t>废旧电瓶处理项目</w:t>
      </w:r>
    </w:p>
    <w:p>
      <w:pPr>
        <w:keepNext w:val="0"/>
        <w:keepLines w:val="0"/>
        <w:pageBreakBefore w:val="0"/>
        <w:widowControl w:val="0"/>
        <w:kinsoku/>
        <w:wordWrap/>
        <w:topLinePunct w:val="0"/>
        <w:autoSpaceDE/>
        <w:autoSpaceDN/>
        <w:bidi w:val="0"/>
        <w:adjustRightInd/>
        <w:snapToGrid w:val="0"/>
        <w:spacing w:line="360" w:lineRule="exact"/>
        <w:ind w:firstLine="422" w:firstLineChars="200"/>
        <w:textAlignment w:val="auto"/>
        <w:rPr>
          <w:rFonts w:hint="default" w:asciiTheme="minorEastAsia" w:hAnsiTheme="minorEastAsia" w:eastAsiaTheme="minorEastAsia"/>
          <w:bCs/>
          <w:szCs w:val="21"/>
          <w:lang w:val="en-US"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CT-SJ-2019046</w:t>
      </w:r>
      <w:r>
        <w:rPr>
          <w:rFonts w:hint="eastAsia" w:asciiTheme="minorEastAsia" w:hAnsiTheme="minorEastAsia" w:eastAsiaTheme="minorEastAsia"/>
          <w:bCs/>
          <w:szCs w:val="21"/>
          <w:lang w:val="en-US" w:eastAsia="zh-CN"/>
        </w:rPr>
        <w:t>-1</w:t>
      </w:r>
    </w:p>
    <w:p>
      <w:pPr>
        <w:keepNext w:val="0"/>
        <w:keepLines w:val="0"/>
        <w:pageBreakBefore w:val="0"/>
        <w:widowControl w:val="0"/>
        <w:kinsoku/>
        <w:wordWrap/>
        <w:topLinePunct w:val="0"/>
        <w:autoSpaceDE/>
        <w:autoSpaceDN/>
        <w:bidi w:val="0"/>
        <w:adjustRightInd/>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w:t>
      </w:r>
    </w:p>
    <w:tbl>
      <w:tblPr>
        <w:tblStyle w:val="21"/>
        <w:tblW w:w="7905" w:type="dxa"/>
        <w:jc w:val="center"/>
        <w:tblLayout w:type="fixed"/>
        <w:tblCellMar>
          <w:top w:w="0" w:type="dxa"/>
          <w:left w:w="108" w:type="dxa"/>
          <w:bottom w:w="0" w:type="dxa"/>
          <w:right w:w="108" w:type="dxa"/>
        </w:tblCellMar>
      </w:tblPr>
      <w:tblGrid>
        <w:gridCol w:w="924"/>
        <w:gridCol w:w="925"/>
        <w:gridCol w:w="1946"/>
        <w:gridCol w:w="809"/>
        <w:gridCol w:w="1537"/>
        <w:gridCol w:w="1764"/>
      </w:tblGrid>
      <w:tr>
        <w:tblPrEx>
          <w:tblCellMar>
            <w:top w:w="0" w:type="dxa"/>
            <w:left w:w="108" w:type="dxa"/>
            <w:bottom w:w="0" w:type="dxa"/>
            <w:right w:w="108" w:type="dxa"/>
          </w:tblCellMar>
        </w:tblPrEx>
        <w:trPr>
          <w:trHeight w:val="562" w:hRule="exac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925"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类别</w:t>
            </w:r>
          </w:p>
        </w:tc>
        <w:tc>
          <w:tcPr>
            <w:tcW w:w="1946"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规格型号</w:t>
            </w:r>
          </w:p>
        </w:tc>
        <w:tc>
          <w:tcPr>
            <w:tcW w:w="809"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537"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预估数量</w:t>
            </w:r>
          </w:p>
        </w:tc>
        <w:tc>
          <w:tcPr>
            <w:tcW w:w="1764"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925" w:type="dxa"/>
            <w:vMerge w:val="restart"/>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电瓶</w:t>
            </w: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130</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6QA-120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6QA-180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225</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6QA-200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265</w:t>
            </w:r>
          </w:p>
        </w:tc>
      </w:tr>
    </w:tbl>
    <w:p>
      <w:pPr>
        <w:spacing w:line="360" w:lineRule="exact"/>
        <w:ind w:firstLine="430" w:firstLineChars="200"/>
        <w:rPr>
          <w:rFonts w:ascii="宋体" w:hAnsi="宋体" w:cs="宋体"/>
          <w:bCs/>
          <w:color w:val="00000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本项目为常州市公共交通集团有限责任公司</w:t>
      </w:r>
      <w:r>
        <w:rPr>
          <w:rFonts w:hint="eastAsia" w:ascii="宋体" w:hAnsi="宋体" w:cs="宋体"/>
          <w:color w:val="000000"/>
          <w:szCs w:val="21"/>
          <w:lang w:eastAsia="zh-CN"/>
        </w:rPr>
        <w:t>废旧电瓶处理项目</w:t>
      </w:r>
      <w:r>
        <w:rPr>
          <w:rFonts w:hint="eastAsia" w:ascii="宋体" w:hAnsi="宋体" w:cs="宋体"/>
          <w:color w:val="000000"/>
          <w:szCs w:val="21"/>
        </w:rPr>
        <w:t>项目。具体内容包括：现场收集、运输、装卸、装卸车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Theme="minorEastAsia" w:hAnsiTheme="minorEastAsia" w:eastAsiaTheme="minorEastAsia"/>
          <w:szCs w:val="21"/>
        </w:rPr>
        <w:t>，具体</w:t>
      </w:r>
      <w:r>
        <w:rPr>
          <w:rFonts w:asciiTheme="minorEastAsia" w:hAnsiTheme="minorEastAsia" w:eastAsiaTheme="minorEastAsia"/>
          <w:szCs w:val="21"/>
        </w:rPr>
        <w:t>内容详见竞价文件</w:t>
      </w:r>
      <w:r>
        <w:rPr>
          <w:rFonts w:hint="eastAsia" w:ascii="宋体" w:hAnsi="宋体" w:cs="宋体"/>
          <w:bCs/>
          <w:color w:val="000000"/>
          <w:szCs w:val="21"/>
        </w:rPr>
        <w:t>。</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w:t>
      </w:r>
    </w:p>
    <w:p>
      <w:pPr>
        <w:spacing w:line="360" w:lineRule="exact"/>
        <w:ind w:left="0" w:leftChars="0"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9、应持有《危险废物经营许可证》并且核准经营危险废物类别含铅废物（HW49）或（HW31）。</w:t>
      </w:r>
    </w:p>
    <w:p>
      <w:pPr>
        <w:spacing w:line="360" w:lineRule="exact"/>
        <w:ind w:left="420" w:left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2019年10月</w:t>
      </w:r>
      <w:r>
        <w:rPr>
          <w:rFonts w:hint="eastAsia" w:cs="宋体" w:asciiTheme="minorEastAsia" w:hAnsiTheme="minorEastAsia" w:eastAsiaTheme="minorEastAsia"/>
          <w:b/>
          <w:bCs/>
          <w:kern w:val="0"/>
          <w:szCs w:val="21"/>
          <w:lang w:val="en-US" w:eastAsia="zh-CN"/>
        </w:rPr>
        <w:t>31</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人民币叁仟元整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同竞价响应文件提交截止时间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9</w:t>
      </w:r>
      <w:r>
        <w:rPr>
          <w:rFonts w:asciiTheme="minorEastAsia" w:hAnsiTheme="minorEastAsia" w:eastAsiaTheme="minorEastAsia"/>
          <w:b/>
          <w:bCs/>
          <w:szCs w:val="21"/>
        </w:rPr>
        <w:t>:</w:t>
      </w:r>
      <w:r>
        <w:rPr>
          <w:rFonts w:hint="eastAsia" w:asciiTheme="minorEastAsia" w:hAnsiTheme="minorEastAsia" w:eastAsiaTheme="minorEastAsia"/>
          <w:b/>
          <w:bCs/>
          <w:szCs w:val="21"/>
          <w:lang w:val="en-US" w:eastAsia="zh-CN"/>
        </w:rPr>
        <w:t>00</w:t>
      </w:r>
      <w:r>
        <w:rPr>
          <w:rFonts w:asciiTheme="minorEastAsia" w:hAnsiTheme="minorEastAsia" w:eastAsiaTheme="minorEastAsia"/>
          <w:b/>
          <w:bCs/>
          <w:szCs w:val="21"/>
        </w:rPr>
        <w:t>-</w:t>
      </w:r>
      <w:r>
        <w:rPr>
          <w:rFonts w:hint="eastAsia" w:asciiTheme="minorEastAsia" w:hAnsiTheme="minorEastAsia" w:eastAsiaTheme="minorEastAsia"/>
          <w:b/>
          <w:bCs/>
          <w:szCs w:val="21"/>
          <w:lang w:val="en-US" w:eastAsia="zh-CN"/>
        </w:rPr>
        <w:t>9</w:t>
      </w:r>
      <w:r>
        <w:rPr>
          <w:rFonts w:asciiTheme="minorEastAsia" w:hAnsiTheme="minorEastAsia" w:eastAsiaTheme="minorEastAsia"/>
          <w:b/>
          <w:bCs/>
          <w:szCs w:val="21"/>
        </w:rPr>
        <w:t>:</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9</w:t>
      </w:r>
      <w:r>
        <w:rPr>
          <w:rFonts w:asciiTheme="minorEastAsia" w:hAnsiTheme="minorEastAsia" w:eastAsiaTheme="minorEastAsia"/>
          <w:b/>
          <w:bCs/>
          <w:szCs w:val="21"/>
        </w:rPr>
        <w:t>:</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300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宋体" w:hAnsi="宋体"/>
          <w:szCs w:val="21"/>
        </w:rPr>
      </w:pPr>
      <w:r>
        <w:rPr>
          <w:rFonts w:hint="eastAsia" w:ascii="宋体" w:hAnsi="宋体"/>
          <w:szCs w:val="21"/>
        </w:rPr>
        <w:t>采购人名称：常州市公共交通集团有限责任公司</w:t>
      </w:r>
    </w:p>
    <w:p>
      <w:pPr>
        <w:snapToGrid w:val="0"/>
        <w:spacing w:line="360" w:lineRule="exact"/>
        <w:ind w:firstLine="420" w:firstLineChars="200"/>
        <w:rPr>
          <w:rFonts w:ascii="宋体" w:hAnsi="宋体"/>
          <w:szCs w:val="21"/>
        </w:rPr>
      </w:pPr>
      <w:r>
        <w:rPr>
          <w:rFonts w:hint="eastAsia" w:ascii="宋体" w:hAnsi="宋体"/>
          <w:szCs w:val="21"/>
        </w:rPr>
        <w:t>联系人：王 帆</w:t>
      </w:r>
      <w:r>
        <w:rPr>
          <w:rFonts w:hint="eastAsia" w:ascii="宋体" w:hAnsi="宋体"/>
          <w:spacing w:val="2"/>
          <w:szCs w:val="21"/>
        </w:rPr>
        <w:t xml:space="preserve"> </w:t>
      </w:r>
    </w:p>
    <w:p>
      <w:pPr>
        <w:snapToGrid w:val="0"/>
        <w:spacing w:line="360" w:lineRule="exact"/>
        <w:ind w:firstLine="420" w:firstLineChars="200"/>
        <w:rPr>
          <w:rFonts w:ascii="宋体" w:hAnsi="宋体"/>
          <w:spacing w:val="2"/>
          <w:szCs w:val="21"/>
        </w:rPr>
      </w:pPr>
      <w:r>
        <w:rPr>
          <w:rFonts w:hint="eastAsia" w:ascii="宋体" w:hAnsi="宋体"/>
          <w:szCs w:val="21"/>
        </w:rPr>
        <w:t>联系电话：</w:t>
      </w:r>
      <w:r>
        <w:rPr>
          <w:rFonts w:hint="eastAsia" w:ascii="宋体" w:hAnsi="宋体"/>
          <w:spacing w:val="2"/>
          <w:szCs w:val="21"/>
        </w:rPr>
        <w:t xml:space="preserve">0519-67896665 </w:t>
      </w:r>
    </w:p>
    <w:p>
      <w:pPr>
        <w:snapToGrid w:val="0"/>
        <w:spacing w:line="360" w:lineRule="exact"/>
        <w:ind w:firstLine="420" w:firstLineChars="200"/>
        <w:rPr>
          <w:rFonts w:ascii="宋体" w:hAnsi="宋体"/>
          <w:spacing w:val="2"/>
          <w:szCs w:val="21"/>
        </w:rPr>
      </w:pPr>
      <w:r>
        <w:rPr>
          <w:rFonts w:hint="eastAsia" w:ascii="宋体" w:hAnsi="宋体"/>
          <w:szCs w:val="21"/>
        </w:rPr>
        <w:t>联系地址：常州市中吴大道2188号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2019年10月</w:t>
      </w:r>
      <w:r>
        <w:rPr>
          <w:rFonts w:hint="eastAsia" w:cs="宋体" w:asciiTheme="minorEastAsia" w:hAnsiTheme="minorEastAsia" w:eastAsiaTheme="minorEastAsia"/>
          <w:szCs w:val="21"/>
          <w:lang w:val="en-US" w:eastAsia="zh-CN"/>
        </w:rPr>
        <w:t>31</w:t>
      </w:r>
      <w:r>
        <w:rPr>
          <w:rFonts w:hint="eastAsia" w:cs="宋体" w:asciiTheme="minorEastAsia" w:hAnsiTheme="minorEastAsia" w:eastAsiaTheme="minorEastAsia"/>
          <w:szCs w:val="21"/>
        </w:rPr>
        <w:t>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2"/>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采购人授权竞价小组直接确定成交人。</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成交通知书对采购人和成交人具有法律约束力。成交通知书发出后，采购人改变成交结果或者成交人放弃成交，均应当承担相应的法律责任，且不影响服务费的支付。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的履约保证金。</w:t>
      </w:r>
    </w:p>
    <w:p>
      <w:pPr>
        <w:pStyle w:val="5"/>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.1服务费按照下列标准收取并</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任意多边形 5" o:spid="_x0000_s1048"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locs="0,0;0,7143" o:connectangles="0,0"/>
            <v:fill on="f" focussize="0,0"/>
            <v:stroke weight="0.05pt"/>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.2代理服务收费标准</w:t>
      </w:r>
    </w:p>
    <w:tbl>
      <w:tblPr>
        <w:tblStyle w:val="21"/>
        <w:tblW w:w="4681" w:type="dxa"/>
        <w:tblInd w:w="1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410" w:type="dxa"/>
          </w:tcPr>
          <w:p>
            <w:pPr>
              <w:spacing w:line="440" w:lineRule="exact"/>
              <w:ind w:firstLine="945" w:firstLineChars="450"/>
              <w:rPr>
                <w:rFonts w:ascii="宋体" w:hAnsi="宋体" w:cs="宋体"/>
                <w:bCs/>
                <w:szCs w:val="21"/>
              </w:rPr>
            </w:pPr>
            <w:r>
              <w:rPr>
                <w:rFonts w:ascii="宋体" w:hAnsi="宋体" w:cs="宋体"/>
                <w:bCs/>
                <w:szCs w:val="21"/>
              </w:rPr>
              <w:pict>
                <v:line id="直接连接符 1" o:spid="_x0000_s1050" o:spt="20" style="position:absolute;left:0pt;flip:x y;margin-left:27pt;margin-top:0.2pt;height:132pt;width:87.6pt;z-index:251674624;mso-width-relative:page;mso-height-relative:page;" coordsize="21600,21600" o:gfxdata="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WU8B9QAAAAHAQAADwAA&#10;AAAAAAABACAAAAAiAAAAZHJzL2Rvd25yZXYueG1sUEsBAhQAFAAAAAgAh07iQGVVDzLhAQAAhAMA&#10;AA4AAAAAAAAAAQAgAAAAIwEAAGRycy9lMm9Eb2MueG1sUEsFBgAAAAAGAAYAWQEAAHYFAAAAAA==&#10;">
                  <v:path arrowok="t"/>
                  <v:fill focussize="0,0"/>
                  <v:stroke/>
                  <v:imagedata o:title=""/>
                  <o:lock v:ext="edit"/>
                </v:line>
              </w:pict>
            </w:r>
            <w:r>
              <w:rPr>
                <w:rFonts w:ascii="宋体" w:hAnsi="宋体" w:cs="宋体"/>
                <w:bCs/>
                <w:szCs w:val="21"/>
              </w:rPr>
              <w:pict>
                <v:line id="直接连接符 7" o:spid="_x0000_s1049" o:spt="20" style="position:absolute;left:0pt;margin-left:-8.9pt;margin-top:-0.4pt;height:0pt;width:0.05pt;z-index:251672576;mso-width-relative:page;mso-height-relative:page;"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tMa+NIAAAAHAQAADwAAAAAAAAABACAAAAAiAAAAZHJzL2Rvd25y&#10;ZXYueG1sUEsBAhQAFAAAAAgAh07iQO0up+jLAQAAZgMAAA4AAAAAAAAAAQAgAAAAIQEAAGRycy9l&#10;Mm9Eb2MueG1sUEsFBgAAAAAGAAYAWQEAAF4F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直接连接符 2" o:spid="_x0000_s1051" o:spt="20" style="position:absolute;left:0pt;flip:x y;margin-left:-6.55pt;margin-top:7.15pt;height:81.35pt;width:121.15pt;z-index:251673600;mso-width-relative:page;mso-height-relative:page;" coordsize="21600,21600" o:gfxdata="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us9hHVAAAACgEAAA8AAAAA&#10;AAAAAQAgAAAAIgAAAGRycy9kb3ducmV2LnhtbFBLAQIUABQAAAAIAIdO4kAIzanr3gEAAIQDAAAO&#10;AAAAAAAAAAEAIAAAACQBAABkcnMvZTJvRG9jLnhtbFBLBQYAAAAABgAGAFkBAAB0BQAAAAA=&#10;">
                  <v:path arrowok="t"/>
                  <v:fill focussize="0,0"/>
                  <v:stroke/>
                  <v:imagedata o:title=""/>
                  <o:lock v:ext="edit"/>
                </v:line>
              </w:pict>
            </w:r>
            <w:r>
              <w:rPr>
                <w:rFonts w:hint="eastAsia" w:ascii="宋体" w:hAnsi="宋体" w:cs="宋体"/>
                <w:bCs/>
                <w:szCs w:val="21"/>
              </w:rPr>
              <w:t>　 类</w:t>
            </w:r>
          </w:p>
          <w:p>
            <w:pPr>
              <w:spacing w:line="440" w:lineRule="exact"/>
              <w:ind w:left="1890" w:leftChars="500" w:hanging="840" w:hangingChars="4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中标金额（万元）</w:t>
            </w:r>
          </w:p>
        </w:tc>
        <w:tc>
          <w:tcPr>
            <w:tcW w:w="2271"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71" w:type="dxa"/>
            <w:vAlign w:val="center"/>
          </w:tcPr>
          <w:p>
            <w:pPr>
              <w:spacing w:line="240" w:lineRule="atLeast"/>
              <w:jc w:val="center"/>
              <w:rPr>
                <w:rFonts w:cs="宋体" w:asciiTheme="minorEastAsia" w:hAnsiTheme="minorEastAsia" w:eastAsiaTheme="minorEastAsia"/>
                <w:szCs w:val="21"/>
              </w:rPr>
            </w:pPr>
            <w:r>
              <w:rPr>
                <w:rFonts w:hint="eastAsia" w:asciiTheme="minorEastAsia" w:hAnsiTheme="minorEastAsia" w:eastAsiaTheme="minorEastAsia"/>
                <w:szCs w:val="21"/>
              </w:rPr>
              <w:t>1.5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71" w:type="dxa"/>
            <w:vAlign w:val="center"/>
          </w:tcPr>
          <w:p>
            <w:pPr>
              <w:spacing w:line="240" w:lineRule="atLeast"/>
              <w:jc w:val="center"/>
              <w:rPr>
                <w:rFonts w:cs="宋体" w:asciiTheme="minorEastAsia" w:hAnsiTheme="minorEastAsia" w:eastAsiaTheme="minorEastAsia"/>
                <w:szCs w:val="21"/>
              </w:rPr>
            </w:pPr>
            <w:r>
              <w:rPr>
                <w:rFonts w:hint="eastAsia"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240" w:lineRule="atLeast"/>
              <w:jc w:val="center"/>
              <w:rPr>
                <w:rFonts w:ascii="宋体" w:hAnsi="宋体" w:cs="宋体"/>
                <w:szCs w:val="21"/>
              </w:rPr>
            </w:pPr>
            <w:r>
              <w:rPr>
                <w:rFonts w:hint="eastAsia" w:ascii="宋体" w:hAnsi="宋体" w:cs="宋体"/>
                <w:szCs w:val="21"/>
              </w:rPr>
              <w:t>……</w:t>
            </w:r>
          </w:p>
        </w:tc>
        <w:tc>
          <w:tcPr>
            <w:tcW w:w="2271" w:type="dxa"/>
          </w:tcPr>
          <w:p>
            <w:pPr>
              <w:spacing w:line="240" w:lineRule="atLeas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.2.1中标服务收费按差额定率累进法计算。 </w: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.2.2中标服务收费按上述计算方法不足人民币2000元的，按人民币2000元收取。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w:t>
      </w:r>
    </w:p>
    <w:tbl>
      <w:tblPr>
        <w:tblStyle w:val="21"/>
        <w:tblW w:w="7905" w:type="dxa"/>
        <w:jc w:val="center"/>
        <w:tblLayout w:type="fixed"/>
        <w:tblCellMar>
          <w:top w:w="0" w:type="dxa"/>
          <w:left w:w="108" w:type="dxa"/>
          <w:bottom w:w="0" w:type="dxa"/>
          <w:right w:w="108" w:type="dxa"/>
        </w:tblCellMar>
      </w:tblPr>
      <w:tblGrid>
        <w:gridCol w:w="924"/>
        <w:gridCol w:w="925"/>
        <w:gridCol w:w="1946"/>
        <w:gridCol w:w="809"/>
        <w:gridCol w:w="1537"/>
        <w:gridCol w:w="1764"/>
      </w:tblGrid>
      <w:tr>
        <w:tblPrEx>
          <w:tblCellMar>
            <w:top w:w="0" w:type="dxa"/>
            <w:left w:w="108" w:type="dxa"/>
            <w:bottom w:w="0" w:type="dxa"/>
            <w:right w:w="108" w:type="dxa"/>
          </w:tblCellMar>
        </w:tblPrEx>
        <w:trPr>
          <w:trHeight w:val="562" w:hRule="exac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925"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类别</w:t>
            </w:r>
          </w:p>
        </w:tc>
        <w:tc>
          <w:tcPr>
            <w:tcW w:w="1946"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规格型号</w:t>
            </w:r>
          </w:p>
        </w:tc>
        <w:tc>
          <w:tcPr>
            <w:tcW w:w="809"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537"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预估数量</w:t>
            </w:r>
          </w:p>
        </w:tc>
        <w:tc>
          <w:tcPr>
            <w:tcW w:w="1764"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控制单价(元)</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925" w:type="dxa"/>
            <w:vMerge w:val="restart"/>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电瓶</w:t>
            </w: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130</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6QA-120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6QA-180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225</w:t>
            </w:r>
          </w:p>
        </w:tc>
      </w:tr>
      <w:tr>
        <w:tblPrEx>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6QA-200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265</w:t>
            </w:r>
          </w:p>
        </w:tc>
      </w:tr>
    </w:tbl>
    <w:p>
      <w:pPr>
        <w:spacing w:line="36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二、技术要求：</w:t>
      </w:r>
      <w:r>
        <w:rPr>
          <w:rFonts w:hint="eastAsia" w:asciiTheme="minorEastAsia" w:hAnsiTheme="minorEastAsia" w:eastAsiaTheme="minorEastAsia"/>
          <w:szCs w:val="21"/>
        </w:rPr>
        <w:t>成交人在收购约定废品后，确保按照国家法律的相关规定及工作流程进行处置，不造成环境危害及其他对社会公众的伤害，如造成环境危害及其他安全责任伤害事故等，采购人不承担任何相应的责任，成交人在对废品进行处置时需遵守国家法律的相关规定及工作流程。</w:t>
      </w:r>
    </w:p>
    <w:p>
      <w:pPr>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三、服务要求：</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bookmarkStart w:id="2" w:name="Text3"/>
      <w:bookmarkEnd w:id="2"/>
      <w:r>
        <w:rPr>
          <w:rFonts w:hint="eastAsia" w:asciiTheme="minorEastAsia" w:hAnsiTheme="minorEastAsia" w:eastAsiaTheme="minorEastAsia"/>
          <w:szCs w:val="21"/>
        </w:rPr>
        <w:t>由采购人通知成交人，成交人在接到采购人通知12小时内将采购人指定的废品收购处置完毕，特殊情况双方协商处理。</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2）成交人负责废品的现场收集、清理、装卸。</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3）运输废品所需车辆，由成交人自行提供。</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4）成交人应确保废品收购时和废品收购处理完毕后现场的安全及清洁工作，并确保不造成任何污染。</w:t>
      </w:r>
    </w:p>
    <w:p>
      <w:pPr>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四、其他要求: </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1）成交人派往采购人工作人员，有责任了解采购人的入厂需知，遵守采购人有关的安全和环保要求；成交人有关办事人员或受雇于成交人的人员在采购人厂区内应遵守采购人相关规章制度。</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成交人运输工具应清洁卫生，不得装载有毒有害或其他对货物可能造成污染的物品，在采购人场内内应按采购人规定的限速行使，运输车罐体、送料管、油箱等密闭安全可靠，无滴漏、废气溢出隐患；由于成交人原因，成交人车辆在采购人场内造成安全、污染事故由成交人负相应的法律责任及经济赔偿责任。</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3）因成交人工作人员的过错造成采购人的人身伤害及财产的损失，由成交人承担全部法律责任及经济损失。</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4）在采购人的废品处理现场，成交人工作人员在装卸、处置、收购废品工作过程中所发生的任何安全事故，由成交人自行承担，与采购人无关。（除非成交人能证明采购人有过错的）。</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五、综合说明</w:t>
      </w:r>
    </w:p>
    <w:p>
      <w:pPr>
        <w:numPr>
          <w:ilvl w:val="0"/>
          <w:numId w:val="1"/>
        </w:numPr>
        <w:spacing w:line="360" w:lineRule="exact"/>
        <w:rPr>
          <w:rFonts w:ascii="宋体" w:hAnsi="宋体" w:cs="宋体"/>
          <w:szCs w:val="21"/>
        </w:rPr>
      </w:pPr>
      <w:r>
        <w:rPr>
          <w:rFonts w:hint="eastAsia" w:ascii="宋体" w:hAnsi="宋体" w:cs="宋体"/>
          <w:szCs w:val="21"/>
        </w:rPr>
        <w:t>竞价人应遵循公开、公平、公正和诚实信用的原则。</w:t>
      </w:r>
    </w:p>
    <w:p>
      <w:pPr>
        <w:numPr>
          <w:ilvl w:val="0"/>
          <w:numId w:val="1"/>
        </w:numPr>
        <w:spacing w:line="360" w:lineRule="exact"/>
        <w:rPr>
          <w:rFonts w:ascii="宋体" w:hAnsi="宋体" w:cs="宋体"/>
          <w:szCs w:val="21"/>
        </w:rPr>
      </w:pPr>
      <w:r>
        <w:rPr>
          <w:rFonts w:hint="eastAsia" w:ascii="宋体" w:hAnsi="宋体" w:cs="宋体"/>
          <w:szCs w:val="21"/>
        </w:rPr>
        <w:t>凡参与竞价的竞价人，皆视为自愿接受本竞价文件约束。</w:t>
      </w:r>
    </w:p>
    <w:p>
      <w:pPr>
        <w:numPr>
          <w:ilvl w:val="0"/>
          <w:numId w:val="1"/>
        </w:numPr>
        <w:spacing w:line="360" w:lineRule="exact"/>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numPr>
          <w:ilvl w:val="0"/>
          <w:numId w:val="1"/>
        </w:numPr>
        <w:spacing w:line="360" w:lineRule="exact"/>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numPr>
          <w:ilvl w:val="0"/>
          <w:numId w:val="1"/>
        </w:numPr>
        <w:spacing w:line="360" w:lineRule="exact"/>
        <w:rPr>
          <w:rFonts w:ascii="宋体" w:hAnsi="宋体" w:cs="宋体"/>
          <w:szCs w:val="21"/>
        </w:rPr>
      </w:pPr>
      <w:r>
        <w:rPr>
          <w:rFonts w:hint="eastAsia" w:ascii="宋体" w:hAnsi="宋体" w:cs="宋体"/>
          <w:szCs w:val="21"/>
        </w:rPr>
        <w:t>新报价一旦被报出不得撤消。</w:t>
      </w:r>
    </w:p>
    <w:p>
      <w:pPr>
        <w:numPr>
          <w:ilvl w:val="0"/>
          <w:numId w:val="1"/>
        </w:numPr>
        <w:spacing w:line="360" w:lineRule="exact"/>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在规定期限内有两个或两个以上竞价人，允许多次报价、价高者得，若最终存在两个或两个以上报价完全相同的最高报价竞价人，则采购人有权自行从中选择成交人而无需向其余竞价人做出解释。</w:t>
      </w:r>
    </w:p>
    <w:p>
      <w:pPr>
        <w:numPr>
          <w:ilvl w:val="0"/>
          <w:numId w:val="1"/>
        </w:numPr>
        <w:spacing w:line="360" w:lineRule="exact"/>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numPr>
          <w:ilvl w:val="0"/>
          <w:numId w:val="1"/>
        </w:numPr>
        <w:spacing w:line="360" w:lineRule="exact"/>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spacing w:line="360" w:lineRule="exact"/>
        <w:ind w:firstLine="422" w:firstLineChars="200"/>
        <w:rPr>
          <w:rFonts w:hint="eastAsia" w:eastAsia="宋体" w:asciiTheme="minorEastAsia" w:hAnsiTheme="minorEastAsia"/>
          <w:b/>
          <w:bCs/>
          <w:szCs w:val="21"/>
          <w:lang w:eastAsia="zh-CN"/>
        </w:rPr>
      </w:pPr>
      <w:r>
        <w:rPr>
          <w:rFonts w:hint="eastAsia" w:asciiTheme="minorEastAsia" w:hAnsiTheme="minorEastAsia" w:eastAsiaTheme="minorEastAsia"/>
          <w:b/>
          <w:bCs/>
          <w:szCs w:val="21"/>
        </w:rPr>
        <w:t>六、服务期限：</w:t>
      </w:r>
      <w:r>
        <w:rPr>
          <w:rFonts w:hint="eastAsia" w:ascii="宋体" w:hAnsi="宋体" w:cs="宋体"/>
          <w:sz w:val="24"/>
          <w:szCs w:val="24"/>
          <w:lang w:eastAsia="zh-CN"/>
        </w:rPr>
        <w:t>壹</w:t>
      </w:r>
      <w:r>
        <w:rPr>
          <w:rFonts w:ascii="宋体" w:hAnsi="宋体" w:eastAsia="宋体" w:cs="宋体"/>
          <w:sz w:val="24"/>
          <w:szCs w:val="24"/>
        </w:rPr>
        <w:t>年，合同到期后，双方无异议自动续签至</w:t>
      </w:r>
      <w:r>
        <w:rPr>
          <w:rFonts w:hint="eastAsia" w:ascii="宋体" w:hAnsi="宋体" w:cs="宋体"/>
          <w:sz w:val="24"/>
          <w:szCs w:val="24"/>
          <w:lang w:val="en-US" w:eastAsia="zh-CN"/>
        </w:rPr>
        <w:t>采购人</w:t>
      </w:r>
      <w:r>
        <w:rPr>
          <w:rFonts w:ascii="宋体" w:hAnsi="宋体" w:eastAsia="宋体" w:cs="宋体"/>
          <w:sz w:val="24"/>
          <w:szCs w:val="24"/>
        </w:rPr>
        <w:t>对该项目重新招标后与</w:t>
      </w:r>
      <w:r>
        <w:rPr>
          <w:rFonts w:hint="eastAsia" w:ascii="宋体" w:hAnsi="宋体" w:cs="宋体"/>
          <w:sz w:val="24"/>
          <w:szCs w:val="24"/>
          <w:lang w:val="en-US" w:eastAsia="zh-CN"/>
        </w:rPr>
        <w:t>成交人</w:t>
      </w:r>
      <w:r>
        <w:rPr>
          <w:rFonts w:ascii="宋体" w:hAnsi="宋体" w:eastAsia="宋体" w:cs="宋体"/>
          <w:sz w:val="24"/>
          <w:szCs w:val="24"/>
        </w:rPr>
        <w:t>签订新合同止</w:t>
      </w:r>
      <w:r>
        <w:rPr>
          <w:rFonts w:hint="eastAsia" w:ascii="宋体" w:hAnsi="宋体" w:cs="宋体"/>
          <w:sz w:val="24"/>
          <w:szCs w:val="24"/>
          <w:lang w:eastAsia="zh-CN"/>
        </w:rPr>
        <w:t>。</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七、付款方式：先付款再提货（转帐、现金）。</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br w:type="page"/>
      </w:r>
    </w:p>
    <w:p>
      <w:pPr>
        <w:pStyle w:val="2"/>
      </w:pPr>
      <w:bookmarkStart w:id="3" w:name="_Toc17538137"/>
      <w:r>
        <w:rPr>
          <w:rFonts w:hint="eastAsia"/>
        </w:rPr>
        <w:t>第三章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2"/>
      </w:pPr>
      <w:r>
        <w:rPr>
          <w:rFonts w:hint="eastAsia"/>
        </w:rPr>
        <w:t>第四章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left="420" w:leftChars="200"/>
        <w:rPr>
          <w:rFonts w:ascii="宋体" w:hAnsi="宋体" w:cs="宋体"/>
          <w:b/>
          <w:szCs w:val="21"/>
        </w:rPr>
      </w:pPr>
      <w:r>
        <w:rPr>
          <w:rFonts w:hint="eastAsia" w:ascii="宋体" w:hAnsi="宋体" w:cs="宋体"/>
          <w:b/>
          <w:szCs w:val="21"/>
        </w:rPr>
        <w:t>*</w:t>
      </w:r>
      <w:r>
        <w:rPr>
          <w:rFonts w:hint="eastAsia" w:ascii="宋体" w:hAnsi="宋体" w:cs="宋体"/>
          <w:b/>
          <w:szCs w:val="21"/>
          <w:lang w:val="en-US" w:eastAsia="zh-CN"/>
        </w:rPr>
        <w:t>6</w:t>
      </w:r>
      <w:r>
        <w:rPr>
          <w:rFonts w:hint="eastAsia" w:ascii="宋体" w:hAnsi="宋体" w:cs="宋体"/>
          <w:b/>
          <w:szCs w:val="21"/>
        </w:rPr>
        <w:t>、《危险废物经营许可证》并且核准经营危险废物类别含铅废物（HW49）或（HW31）二、价格及有关商务部分材料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0" w:firstLineChars="200"/>
        <w:rPr>
          <w:rFonts w:ascii="宋体" w:hAnsi="宋体" w:cs="宋体"/>
          <w:szCs w:val="21"/>
        </w:rPr>
      </w:pPr>
      <w:r>
        <w:rPr>
          <w:rFonts w:hint="eastAsia" w:ascii="宋体" w:hAnsi="宋体" w:cs="宋体"/>
          <w:szCs w:val="21"/>
        </w:rPr>
        <w:t>*2、报价明细表</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2"/>
      </w:pPr>
      <w:r>
        <w:rPr>
          <w:rFonts w:hint="eastAsia"/>
        </w:rPr>
        <w:t>第五章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常州市公共交通集团有限责任公司、常州市城投建设工程招标有限公司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spacing w:line="360" w:lineRule="exact"/>
        <w:rPr>
          <w:rFonts w:ascii="宋体" w:hAnsi="宋体" w:cs="宋体"/>
          <w:szCs w:val="21"/>
        </w:rPr>
      </w:pPr>
      <w:r>
        <w:rPr>
          <w:rFonts w:hint="eastAsia" w:ascii="宋体" w:hAnsi="宋体"/>
          <w:color w:val="000000"/>
          <w:szCs w:val="21"/>
        </w:rPr>
        <w:t>项目名称：</w:t>
      </w:r>
    </w:p>
    <w:p>
      <w:pPr>
        <w:spacing w:line="360" w:lineRule="exact"/>
        <w:rPr>
          <w:rFonts w:ascii="宋体" w:hAnsi="宋体" w:cs="宋体"/>
          <w:szCs w:val="21"/>
        </w:rPr>
      </w:pPr>
      <w:r>
        <w:rPr>
          <w:rFonts w:hint="eastAsia" w:ascii="宋体" w:hAnsi="宋体" w:cs="宋体"/>
          <w:szCs w:val="21"/>
        </w:rPr>
        <w:t>项目编号：</w:t>
      </w:r>
    </w:p>
    <w:tbl>
      <w:tblPr>
        <w:tblStyle w:val="21"/>
        <w:tblW w:w="8613" w:type="dxa"/>
        <w:tblInd w:w="0" w:type="dxa"/>
        <w:tblLayout w:type="fixed"/>
        <w:tblCellMar>
          <w:top w:w="0" w:type="dxa"/>
          <w:left w:w="108" w:type="dxa"/>
          <w:bottom w:w="0" w:type="dxa"/>
          <w:right w:w="108" w:type="dxa"/>
        </w:tblCellMar>
      </w:tblPr>
      <w:tblGrid>
        <w:gridCol w:w="924"/>
        <w:gridCol w:w="925"/>
        <w:gridCol w:w="1946"/>
        <w:gridCol w:w="809"/>
        <w:gridCol w:w="1537"/>
        <w:gridCol w:w="1197"/>
        <w:gridCol w:w="1275"/>
      </w:tblGrid>
      <w:tr>
        <w:tblPrEx>
          <w:tblCellMar>
            <w:top w:w="0" w:type="dxa"/>
            <w:left w:w="108" w:type="dxa"/>
            <w:bottom w:w="0" w:type="dxa"/>
            <w:right w:w="108" w:type="dxa"/>
          </w:tblCellMar>
        </w:tblPrEx>
        <w:trPr>
          <w:trHeight w:val="562" w:hRule="exact"/>
        </w:trPr>
        <w:tc>
          <w:tcPr>
            <w:tcW w:w="924" w:type="dxa"/>
            <w:tcBorders>
              <w:top w:val="single" w:color="auto" w:sz="4" w:space="0"/>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925"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类别</w:t>
            </w:r>
          </w:p>
        </w:tc>
        <w:tc>
          <w:tcPr>
            <w:tcW w:w="1946"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规格型号</w:t>
            </w:r>
          </w:p>
        </w:tc>
        <w:tc>
          <w:tcPr>
            <w:tcW w:w="809"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537"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预估数量</w:t>
            </w:r>
          </w:p>
        </w:tc>
        <w:tc>
          <w:tcPr>
            <w:tcW w:w="1197"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1275"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总价（元）</w:t>
            </w:r>
          </w:p>
        </w:tc>
      </w:tr>
      <w:tr>
        <w:tblPrEx>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925" w:type="dxa"/>
            <w:vMerge w:val="restart"/>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电瓶</w:t>
            </w: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6QA-120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6QA-180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6QA-200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bl>
    <w:p>
      <w:pPr>
        <w:spacing w:line="360" w:lineRule="exact"/>
        <w:rPr>
          <w:rFonts w:ascii="宋体" w:hAnsi="宋体" w:cs="宋体"/>
          <w:color w:val="000000"/>
          <w:szCs w:val="21"/>
        </w:rPr>
      </w:pPr>
      <w:r>
        <w:rPr>
          <w:rFonts w:hint="eastAsia" w:ascii="宋体" w:hAnsi="宋体" w:cs="宋体"/>
          <w:color w:val="000000"/>
          <w:szCs w:val="21"/>
        </w:rPr>
        <w:t>竞价人名称（公章）：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t>注：表式参考，可根据项目情况自行调整。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2"/>
      </w:pPr>
      <w:bookmarkStart w:id="7" w:name="_Toc17538140"/>
    </w:p>
    <w:p>
      <w:pPr>
        <w:pStyle w:val="2"/>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20</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307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307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3075"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F64907"/>
    <w:rsid w:val="028B190C"/>
    <w:rsid w:val="039B6C90"/>
    <w:rsid w:val="06CC4252"/>
    <w:rsid w:val="06DA475A"/>
    <w:rsid w:val="08A12AB2"/>
    <w:rsid w:val="08BC42DC"/>
    <w:rsid w:val="09972F5A"/>
    <w:rsid w:val="09ED7DA6"/>
    <w:rsid w:val="0A515726"/>
    <w:rsid w:val="0B7633DA"/>
    <w:rsid w:val="0BFD44F1"/>
    <w:rsid w:val="0C317CA4"/>
    <w:rsid w:val="0C70747D"/>
    <w:rsid w:val="0CAC2FC6"/>
    <w:rsid w:val="0D162417"/>
    <w:rsid w:val="0E2608D5"/>
    <w:rsid w:val="0FA05681"/>
    <w:rsid w:val="103F0363"/>
    <w:rsid w:val="12593AFE"/>
    <w:rsid w:val="12614B9E"/>
    <w:rsid w:val="12FB4F48"/>
    <w:rsid w:val="159D6A00"/>
    <w:rsid w:val="15FC12E8"/>
    <w:rsid w:val="199F46BA"/>
    <w:rsid w:val="19EC0866"/>
    <w:rsid w:val="19F7612E"/>
    <w:rsid w:val="1B781A1B"/>
    <w:rsid w:val="1BB81042"/>
    <w:rsid w:val="21E12B06"/>
    <w:rsid w:val="22DC4553"/>
    <w:rsid w:val="24537602"/>
    <w:rsid w:val="27493C12"/>
    <w:rsid w:val="27F74A73"/>
    <w:rsid w:val="28426E7B"/>
    <w:rsid w:val="28990848"/>
    <w:rsid w:val="29045425"/>
    <w:rsid w:val="295B2D7B"/>
    <w:rsid w:val="2AFD03BF"/>
    <w:rsid w:val="2B0E668C"/>
    <w:rsid w:val="2CA102BF"/>
    <w:rsid w:val="2DB04F73"/>
    <w:rsid w:val="2E381D7D"/>
    <w:rsid w:val="30261F49"/>
    <w:rsid w:val="31BB3D69"/>
    <w:rsid w:val="335014C1"/>
    <w:rsid w:val="36F43DC2"/>
    <w:rsid w:val="37787EF0"/>
    <w:rsid w:val="3A391001"/>
    <w:rsid w:val="3B593505"/>
    <w:rsid w:val="3B6B7430"/>
    <w:rsid w:val="3B961EA9"/>
    <w:rsid w:val="3CEB5634"/>
    <w:rsid w:val="3D1772FD"/>
    <w:rsid w:val="3FCC3113"/>
    <w:rsid w:val="41177AA2"/>
    <w:rsid w:val="41B320B5"/>
    <w:rsid w:val="42C422C4"/>
    <w:rsid w:val="42DF0A26"/>
    <w:rsid w:val="43A532CB"/>
    <w:rsid w:val="43E80A3F"/>
    <w:rsid w:val="4401744E"/>
    <w:rsid w:val="44231F0E"/>
    <w:rsid w:val="45AE281F"/>
    <w:rsid w:val="45E56F56"/>
    <w:rsid w:val="462224C0"/>
    <w:rsid w:val="47F44F64"/>
    <w:rsid w:val="48DA38C6"/>
    <w:rsid w:val="4C040BB5"/>
    <w:rsid w:val="4C4374AB"/>
    <w:rsid w:val="4C695695"/>
    <w:rsid w:val="4DE34DC4"/>
    <w:rsid w:val="4ED26A06"/>
    <w:rsid w:val="4ED875AF"/>
    <w:rsid w:val="4EF8673C"/>
    <w:rsid w:val="4F4A4BFC"/>
    <w:rsid w:val="520E46AC"/>
    <w:rsid w:val="52903359"/>
    <w:rsid w:val="52DE03D0"/>
    <w:rsid w:val="53600B76"/>
    <w:rsid w:val="53F83899"/>
    <w:rsid w:val="545322CE"/>
    <w:rsid w:val="545813BB"/>
    <w:rsid w:val="55F340B3"/>
    <w:rsid w:val="56331C83"/>
    <w:rsid w:val="567F301E"/>
    <w:rsid w:val="58C20A0C"/>
    <w:rsid w:val="59C0298D"/>
    <w:rsid w:val="5A023EDB"/>
    <w:rsid w:val="5BD8106D"/>
    <w:rsid w:val="5C62294F"/>
    <w:rsid w:val="5C8F5897"/>
    <w:rsid w:val="5CD72111"/>
    <w:rsid w:val="5E1273DD"/>
    <w:rsid w:val="5E830CD9"/>
    <w:rsid w:val="60753A76"/>
    <w:rsid w:val="60DF5A91"/>
    <w:rsid w:val="63CE5BD8"/>
    <w:rsid w:val="65936198"/>
    <w:rsid w:val="68AD50AB"/>
    <w:rsid w:val="699318F8"/>
    <w:rsid w:val="6AD82745"/>
    <w:rsid w:val="6C6F53D6"/>
    <w:rsid w:val="6C852030"/>
    <w:rsid w:val="6D7762B5"/>
    <w:rsid w:val="6E127821"/>
    <w:rsid w:val="6E31728C"/>
    <w:rsid w:val="6E4A5E57"/>
    <w:rsid w:val="6F2864C4"/>
    <w:rsid w:val="6F2E2543"/>
    <w:rsid w:val="70233EF2"/>
    <w:rsid w:val="70ED5925"/>
    <w:rsid w:val="72DA110C"/>
    <w:rsid w:val="730E2F2E"/>
    <w:rsid w:val="73C05AB8"/>
    <w:rsid w:val="73E0342F"/>
    <w:rsid w:val="74AA0671"/>
    <w:rsid w:val="755E3DD1"/>
    <w:rsid w:val="756141E1"/>
    <w:rsid w:val="7C8A13C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5"/>
    <customShpInfo spid="_x0000_s1048"/>
    <customShpInfo spid="_x0000_s1050"/>
    <customShpInfo spid="_x0000_s1049"/>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2076</Words>
  <Characters>11834</Characters>
  <Lines>98</Lines>
  <Paragraphs>27</Paragraphs>
  <TotalTime>0</TotalTime>
  <ScaleCrop>false</ScaleCrop>
  <LinksUpToDate>false</LinksUpToDate>
  <CharactersWithSpaces>13883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2019-10-31T08:46:06Z</dcterms:modified>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